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2E7E33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2E7E33">
        <w:rPr>
          <w:rFonts w:asciiTheme="minorHAnsi" w:hAnsiTheme="minorHAnsi" w:cstheme="minorHAnsi"/>
          <w:b/>
        </w:rPr>
        <w:t>RECOMENDACIONES DERIVADAS DEL PROCESO DE EVALUACI</w:t>
      </w:r>
      <w:r w:rsidR="00673A2B" w:rsidRPr="002E7E33">
        <w:rPr>
          <w:rFonts w:asciiTheme="minorHAnsi" w:hAnsiTheme="minorHAnsi" w:cstheme="minorHAnsi"/>
          <w:b/>
        </w:rPr>
        <w:t>Ó</w:t>
      </w:r>
      <w:r w:rsidRPr="002E7E33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F56B71" w:rsidRPr="002E7E33" w:rsidRDefault="00F56B71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2E7E33">
        <w:rPr>
          <w:rStyle w:val="dxebasemetropolisblue"/>
          <w:b/>
          <w:bCs/>
          <w:szCs w:val="32"/>
        </w:rPr>
        <w:t>UNIVERSIDAD POLITÉCNICA DE BAJA CALIFORNIA</w:t>
      </w:r>
    </w:p>
    <w:p w:rsidR="00F877A4" w:rsidRPr="002E7E33" w:rsidRDefault="001935B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E7E33">
        <w:rPr>
          <w:rFonts w:asciiTheme="minorHAnsi" w:hAnsiTheme="minorHAnsi" w:cstheme="minorHAnsi"/>
          <w:b/>
          <w:szCs w:val="20"/>
        </w:rPr>
        <w:t>3R</w:t>
      </w:r>
      <w:r w:rsidR="00F877A4" w:rsidRPr="002E7E33">
        <w:rPr>
          <w:rFonts w:asciiTheme="minorHAnsi" w:hAnsiTheme="minorHAnsi" w:cstheme="minorHAnsi"/>
          <w:b/>
          <w:szCs w:val="20"/>
        </w:rPr>
        <w:t>A. EVALUACIÓN 2015</w:t>
      </w:r>
    </w:p>
    <w:p w:rsidR="00686357" w:rsidRPr="002E7E33" w:rsidRDefault="00686357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2E7E33" w:rsidRDefault="00F15373" w:rsidP="00670C56">
      <w:pPr>
        <w:jc w:val="both"/>
        <w:rPr>
          <w:b/>
        </w:rPr>
      </w:pPr>
      <w:r w:rsidRPr="002E7E33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2E7E33">
        <w:rPr>
          <w:rFonts w:cs="Calibri"/>
          <w:b/>
          <w:szCs w:val="20"/>
        </w:rPr>
        <w:t>vos de sus programas operativos.</w:t>
      </w:r>
    </w:p>
    <w:p w:rsidR="009B0CAE" w:rsidRPr="002E7E33" w:rsidRDefault="009B0CAE" w:rsidP="009B0CAE">
      <w:pPr>
        <w:pStyle w:val="Sinespaciado"/>
      </w:pPr>
      <w:r w:rsidRPr="002E7E33">
        <w:t>No se emiten recomendaciones respecto a esta fracción.</w:t>
      </w:r>
    </w:p>
    <w:p w:rsidR="00E73B87" w:rsidRPr="002E7E33" w:rsidRDefault="00E73B87" w:rsidP="00982003">
      <w:pPr>
        <w:pStyle w:val="Sinespaciado"/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II.- Su estructura orgánica;</w:t>
      </w:r>
    </w:p>
    <w:p w:rsidR="00A041A9" w:rsidRPr="002E7E33" w:rsidRDefault="00A041A9" w:rsidP="00A041A9">
      <w:pPr>
        <w:pStyle w:val="Sinespaciado"/>
      </w:pPr>
      <w:r w:rsidRPr="002E7E33">
        <w:t>No se emiten recomendaciones respecto a esta fracción.</w:t>
      </w:r>
    </w:p>
    <w:p w:rsidR="006930DC" w:rsidRPr="002E7E33" w:rsidRDefault="006930DC" w:rsidP="00E63CAB">
      <w:pPr>
        <w:jc w:val="both"/>
        <w:rPr>
          <w:rFonts w:cs="Calibri"/>
          <w:b/>
          <w:szCs w:val="20"/>
        </w:rPr>
      </w:pPr>
    </w:p>
    <w:p w:rsidR="00D02B96" w:rsidRPr="002E7E33" w:rsidRDefault="00517DC3" w:rsidP="00517DC3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41A9" w:rsidRPr="002E7E33" w:rsidRDefault="007553FF" w:rsidP="00A041A9">
      <w:pPr>
        <w:pStyle w:val="Sinespaciado"/>
        <w:numPr>
          <w:ilvl w:val="0"/>
          <w:numId w:val="24"/>
        </w:numPr>
      </w:pPr>
      <w:r w:rsidRPr="002E7E33">
        <w:t xml:space="preserve">Se recomienda incorporar información curricular de </w:t>
      </w:r>
      <w:r w:rsidR="00A041A9" w:rsidRPr="002E7E33">
        <w:t xml:space="preserve">un total de </w:t>
      </w:r>
      <w:r w:rsidR="00E81F43" w:rsidRPr="002E7E33">
        <w:t>cuatro</w:t>
      </w:r>
      <w:r w:rsidR="00A041A9" w:rsidRPr="002E7E33">
        <w:t xml:space="preserve"> servidores públicos adicion</w:t>
      </w:r>
      <w:r w:rsidRPr="002E7E33">
        <w:t xml:space="preserve">ales los cuales fueron detectados en la fracción </w:t>
      </w:r>
      <w:r w:rsidR="00A041A9" w:rsidRPr="002E7E33">
        <w:t>II de este mismo artículo.</w:t>
      </w:r>
      <w:r w:rsidR="001935B2" w:rsidRPr="002E7E33">
        <w:t xml:space="preserve"> </w:t>
      </w:r>
      <w:r w:rsidR="001935B2" w:rsidRPr="002E7E33">
        <w:rPr>
          <w:b/>
        </w:rPr>
        <w:t>ATENDIDA</w:t>
      </w:r>
    </w:p>
    <w:p w:rsidR="006930DC" w:rsidRPr="002E7E33" w:rsidRDefault="006930DC" w:rsidP="00E63CAB">
      <w:pPr>
        <w:jc w:val="both"/>
        <w:rPr>
          <w:rFonts w:cs="Calibri"/>
          <w:b/>
          <w:szCs w:val="20"/>
        </w:rPr>
      </w:pPr>
    </w:p>
    <w:p w:rsidR="00517DC3" w:rsidRPr="002E7E33" w:rsidRDefault="00517DC3" w:rsidP="00517DC3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2E7E33" w:rsidRDefault="005C3C13" w:rsidP="005C3C13">
      <w:pPr>
        <w:pStyle w:val="Sinespaciado"/>
      </w:pPr>
      <w:r w:rsidRPr="002E7E33">
        <w:t>No se emiten recomendaciones respecto a esta fracción.</w:t>
      </w:r>
    </w:p>
    <w:p w:rsidR="000D2C35" w:rsidRPr="002E7E33" w:rsidRDefault="000D2C35" w:rsidP="00E63CAB">
      <w:pPr>
        <w:jc w:val="both"/>
        <w:rPr>
          <w:rFonts w:cs="Calibri"/>
          <w:b/>
          <w:szCs w:val="20"/>
        </w:rPr>
      </w:pPr>
    </w:p>
    <w:p w:rsidR="002F6581" w:rsidRPr="002E7E33" w:rsidRDefault="002F6581" w:rsidP="00E63CAB">
      <w:pPr>
        <w:jc w:val="both"/>
        <w:rPr>
          <w:rFonts w:cs="Calibri"/>
          <w:b/>
          <w:szCs w:val="20"/>
        </w:rPr>
      </w:pPr>
    </w:p>
    <w:p w:rsidR="002F6581" w:rsidRPr="002E7E33" w:rsidRDefault="002F6581" w:rsidP="00E63CAB">
      <w:pPr>
        <w:jc w:val="both"/>
        <w:rPr>
          <w:rFonts w:cs="Calibri"/>
          <w:b/>
          <w:szCs w:val="20"/>
        </w:rPr>
      </w:pPr>
    </w:p>
    <w:p w:rsidR="002F6581" w:rsidRPr="002E7E33" w:rsidRDefault="002F6581" w:rsidP="00E63CAB">
      <w:pPr>
        <w:jc w:val="both"/>
        <w:rPr>
          <w:rFonts w:cs="Calibri"/>
          <w:b/>
          <w:szCs w:val="20"/>
        </w:rPr>
      </w:pPr>
    </w:p>
    <w:p w:rsidR="006930DC" w:rsidRPr="002E7E33" w:rsidRDefault="006934A3" w:rsidP="006930DC">
      <w:pPr>
        <w:jc w:val="both"/>
        <w:rPr>
          <w:rFonts w:cs="Calibri"/>
          <w:sz w:val="18"/>
          <w:szCs w:val="20"/>
        </w:rPr>
      </w:pPr>
      <w:r w:rsidRPr="002E7E33">
        <w:rPr>
          <w:rFonts w:cs="Calibri"/>
          <w:b/>
          <w:sz w:val="18"/>
          <w:szCs w:val="20"/>
        </w:rPr>
        <w:t>N</w:t>
      </w:r>
      <w:r w:rsidR="006930DC" w:rsidRPr="002E7E33">
        <w:rPr>
          <w:rFonts w:cs="Calibri"/>
          <w:b/>
          <w:sz w:val="18"/>
          <w:szCs w:val="20"/>
        </w:rPr>
        <w:t>OTA</w:t>
      </w:r>
      <w:r w:rsidR="00A90366" w:rsidRPr="002E7E33">
        <w:rPr>
          <w:rFonts w:cs="Calibri"/>
          <w:sz w:val="18"/>
          <w:szCs w:val="20"/>
        </w:rPr>
        <w:t>: E</w:t>
      </w:r>
      <w:r w:rsidR="006930DC" w:rsidRPr="002E7E33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b).- Objeto de las solicitudes;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2E7E33" w:rsidRDefault="00C024AC" w:rsidP="00982003">
      <w:pPr>
        <w:pStyle w:val="Sinespaciado"/>
        <w:rPr>
          <w:b/>
        </w:rPr>
      </w:pPr>
      <w:r w:rsidRPr="002E7E33">
        <w:rPr>
          <w:b/>
        </w:rPr>
        <w:t>Nota</w:t>
      </w:r>
      <w:r w:rsidR="00CC1E7D" w:rsidRPr="002E7E33">
        <w:rPr>
          <w:b/>
        </w:rPr>
        <w:t>:</w:t>
      </w:r>
      <w:r w:rsidR="00CC1E7D" w:rsidRPr="002E7E33">
        <w:t xml:space="preserve"> ver</w:t>
      </w:r>
      <w:r w:rsidR="001C3C62" w:rsidRPr="002E7E33">
        <w:t xml:space="preserve"> </w:t>
      </w:r>
      <w:r w:rsidRPr="002E7E33">
        <w:t>recomendación</w:t>
      </w:r>
      <w:r w:rsidR="001C3C62" w:rsidRPr="002E7E33">
        <w:t xml:space="preserve"> </w:t>
      </w:r>
      <w:r w:rsidR="0085202F" w:rsidRPr="002E7E33">
        <w:t>general 1</w:t>
      </w:r>
      <w:r w:rsidR="00151F92" w:rsidRPr="002E7E33">
        <w:t xml:space="preserve"> y 2</w:t>
      </w:r>
      <w:r w:rsidRPr="002E7E33">
        <w:t>.</w:t>
      </w:r>
      <w:r w:rsidR="001935B2" w:rsidRPr="002E7E33">
        <w:t xml:space="preserve"> </w:t>
      </w:r>
      <w:r w:rsidR="001935B2" w:rsidRPr="002E7E33">
        <w:rPr>
          <w:b/>
        </w:rPr>
        <w:t>NO ATENDIDA</w:t>
      </w:r>
    </w:p>
    <w:p w:rsidR="00C675EA" w:rsidRPr="002E7E33" w:rsidRDefault="001C3C62" w:rsidP="00E63CAB">
      <w:pPr>
        <w:ind w:left="708"/>
        <w:jc w:val="both"/>
        <w:rPr>
          <w:rFonts w:cs="Calibri"/>
          <w:szCs w:val="20"/>
        </w:rPr>
      </w:pPr>
      <w:r w:rsidRPr="002E7E33">
        <w:rPr>
          <w:rFonts w:cs="Calibri"/>
          <w:szCs w:val="20"/>
        </w:rPr>
        <w:t xml:space="preserve"> </w:t>
      </w:r>
    </w:p>
    <w:p w:rsidR="000C010D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4C7" w:rsidRPr="002E7E33" w:rsidRDefault="00F044C7" w:rsidP="00F044C7">
      <w:pPr>
        <w:pStyle w:val="Sinespaciado"/>
        <w:numPr>
          <w:ilvl w:val="0"/>
          <w:numId w:val="22"/>
        </w:numPr>
      </w:pPr>
      <w:r w:rsidRPr="002E7E33">
        <w:t xml:space="preserve">Se recomienda publicar información de </w:t>
      </w:r>
      <w:r w:rsidR="00E81F43" w:rsidRPr="002E7E33">
        <w:t>cinco</w:t>
      </w:r>
      <w:r w:rsidR="00C703C6" w:rsidRPr="002E7E33">
        <w:t xml:space="preserve"> </w:t>
      </w:r>
      <w:r w:rsidRPr="002E7E33">
        <w:t>servidor</w:t>
      </w:r>
      <w:r w:rsidR="00C703C6" w:rsidRPr="002E7E33">
        <w:t>es</w:t>
      </w:r>
      <w:r w:rsidRPr="002E7E33">
        <w:t xml:space="preserve"> público</w:t>
      </w:r>
      <w:r w:rsidR="00C703C6" w:rsidRPr="002E7E33">
        <w:t>s</w:t>
      </w:r>
      <w:r w:rsidRPr="002E7E33">
        <w:t xml:space="preserve"> adicional</w:t>
      </w:r>
      <w:r w:rsidR="00C703C6" w:rsidRPr="002E7E33">
        <w:t>es</w:t>
      </w:r>
      <w:r w:rsidRPr="002E7E33">
        <w:t>,</w:t>
      </w:r>
      <w:r w:rsidR="00C703C6" w:rsidRPr="002E7E33">
        <w:t xml:space="preserve"> los </w:t>
      </w:r>
      <w:r w:rsidRPr="002E7E33">
        <w:t>cual</w:t>
      </w:r>
      <w:r w:rsidR="00C703C6" w:rsidRPr="002E7E33">
        <w:t>es</w:t>
      </w:r>
      <w:r w:rsidRPr="002E7E33">
        <w:t xml:space="preserve"> fue</w:t>
      </w:r>
      <w:r w:rsidR="00C703C6" w:rsidRPr="002E7E33">
        <w:t>ron detectados en la fracción I</w:t>
      </w:r>
      <w:r w:rsidRPr="002E7E33">
        <w:t>I de este mismo artículo.</w:t>
      </w:r>
      <w:r w:rsidR="001935B2" w:rsidRPr="002E7E33">
        <w:t xml:space="preserve">  </w:t>
      </w:r>
      <w:r w:rsidR="00DC5876" w:rsidRPr="002E7E33">
        <w:rPr>
          <w:b/>
        </w:rPr>
        <w:t>ATENDIDA</w:t>
      </w:r>
    </w:p>
    <w:p w:rsidR="000C010D" w:rsidRPr="002E7E33" w:rsidRDefault="000C010D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2E7E33" w:rsidRDefault="009F4401" w:rsidP="003C3D1D">
      <w:pPr>
        <w:tabs>
          <w:tab w:val="left" w:pos="426"/>
        </w:tabs>
        <w:jc w:val="both"/>
      </w:pPr>
      <w:r w:rsidRPr="002E7E33">
        <w:t>Se recomienda publica</w:t>
      </w:r>
      <w:r w:rsidR="003C3D1D" w:rsidRPr="002E7E33">
        <w:t>r la</w:t>
      </w:r>
      <w:r w:rsidR="00DB1730" w:rsidRPr="002E7E33">
        <w:t xml:space="preserve"> s</w:t>
      </w:r>
      <w:r w:rsidR="003C3D1D" w:rsidRPr="002E7E33">
        <w:t>iguiente información adicional:</w:t>
      </w:r>
    </w:p>
    <w:p w:rsidR="00C54639" w:rsidRPr="002E7E33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2E7E33">
        <w:t xml:space="preserve">Ciudad de adscripción, </w:t>
      </w:r>
      <w:r w:rsidR="001935B2" w:rsidRPr="002E7E33">
        <w:rPr>
          <w:b/>
        </w:rPr>
        <w:t>NO ATENDIDA</w:t>
      </w:r>
    </w:p>
    <w:p w:rsidR="00C54639" w:rsidRPr="002E7E33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2E7E33">
        <w:t xml:space="preserve">Unidad administrativa de adscripción, </w:t>
      </w:r>
      <w:r w:rsidR="001935B2" w:rsidRPr="002E7E33">
        <w:rPr>
          <w:b/>
        </w:rPr>
        <w:t>ATENDIDA</w:t>
      </w:r>
    </w:p>
    <w:p w:rsidR="00C54639" w:rsidRPr="002E7E33" w:rsidRDefault="00C54639" w:rsidP="00686357">
      <w:pPr>
        <w:pStyle w:val="Prrafodelista"/>
        <w:numPr>
          <w:ilvl w:val="0"/>
          <w:numId w:val="27"/>
        </w:numPr>
        <w:tabs>
          <w:tab w:val="left" w:pos="426"/>
        </w:tabs>
        <w:jc w:val="both"/>
      </w:pPr>
      <w:r w:rsidRPr="002E7E33">
        <w:t xml:space="preserve">Desglose de cualquier deducción, percepción, prestación y compensación en dinero o en especie que reciban con respecto al ejercicio de sus funciones. </w:t>
      </w:r>
      <w:r w:rsidR="001935B2" w:rsidRPr="002E7E33">
        <w:rPr>
          <w:b/>
        </w:rPr>
        <w:t>NO ATENDIDA</w:t>
      </w:r>
    </w:p>
    <w:p w:rsidR="009F4401" w:rsidRPr="002E7E33" w:rsidRDefault="009F4401" w:rsidP="00C54639">
      <w:pPr>
        <w:tabs>
          <w:tab w:val="left" w:pos="426"/>
        </w:tabs>
        <w:ind w:left="786"/>
        <w:jc w:val="both"/>
      </w:pPr>
    </w:p>
    <w:p w:rsidR="004F1604" w:rsidRPr="002E7E33" w:rsidRDefault="004F1604" w:rsidP="004F1604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VIII.- Respecto del presupuesto de egresos:</w:t>
      </w:r>
    </w:p>
    <w:p w:rsidR="004F1604" w:rsidRPr="002E7E3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2E7E3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2E7E33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2E7E33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2E7E33">
        <w:rPr>
          <w:rFonts w:cs="Calibri"/>
          <w:b/>
          <w:szCs w:val="20"/>
        </w:rPr>
        <w:t>.</w:t>
      </w:r>
    </w:p>
    <w:p w:rsidR="00151F92" w:rsidRPr="002E7E33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2E7E33" w:rsidRDefault="009F4401" w:rsidP="00686357">
      <w:pPr>
        <w:pStyle w:val="Prrafodelista"/>
        <w:numPr>
          <w:ilvl w:val="0"/>
          <w:numId w:val="28"/>
        </w:numPr>
        <w:jc w:val="both"/>
      </w:pPr>
      <w:r w:rsidRPr="002E7E33">
        <w:t xml:space="preserve">Se  recomienda  publicar  información    referente  al  Presupuesto  de  Egresos  </w:t>
      </w:r>
      <w:r w:rsidR="00302CFB" w:rsidRPr="002E7E33">
        <w:t>aprobado  para  el año en curso</w:t>
      </w:r>
      <w:r w:rsidRPr="002E7E33">
        <w:t xml:space="preserve"> por programas</w:t>
      </w:r>
      <w:r w:rsidR="00404D32" w:rsidRPr="002E7E33">
        <w:rPr>
          <w:rFonts w:cs="Calibri"/>
          <w:szCs w:val="20"/>
        </w:rPr>
        <w:t>.</w:t>
      </w:r>
      <w:r w:rsidR="001935B2" w:rsidRPr="002E7E33">
        <w:rPr>
          <w:rFonts w:cs="Calibri"/>
          <w:szCs w:val="20"/>
        </w:rPr>
        <w:t xml:space="preserve"> </w:t>
      </w:r>
      <w:r w:rsidR="001935B2" w:rsidRPr="002E7E33">
        <w:rPr>
          <w:rFonts w:cs="Calibri"/>
          <w:b/>
          <w:szCs w:val="20"/>
        </w:rPr>
        <w:t>NO ATENDIDA</w:t>
      </w:r>
    </w:p>
    <w:p w:rsidR="00151F92" w:rsidRPr="002E7E33" w:rsidRDefault="00151F92" w:rsidP="00686357">
      <w:pPr>
        <w:pStyle w:val="Prrafodelista"/>
        <w:numPr>
          <w:ilvl w:val="0"/>
          <w:numId w:val="28"/>
        </w:numPr>
        <w:jc w:val="both"/>
        <w:rPr>
          <w:rFonts w:cs="Calibri"/>
          <w:szCs w:val="20"/>
        </w:rPr>
      </w:pPr>
      <w:r w:rsidRPr="002E7E33">
        <w:rPr>
          <w:rFonts w:cs="Calibri"/>
          <w:szCs w:val="20"/>
        </w:rPr>
        <w:t xml:space="preserve">Se  recomienda  publicar  </w:t>
      </w:r>
      <w:r w:rsidR="00101378" w:rsidRPr="002E7E33">
        <w:rPr>
          <w:rFonts w:cs="Calibri"/>
          <w:szCs w:val="20"/>
        </w:rPr>
        <w:t>el</w:t>
      </w:r>
      <w:r w:rsidR="0014018D" w:rsidRPr="002E7E33">
        <w:rPr>
          <w:rFonts w:cs="Calibri"/>
          <w:szCs w:val="20"/>
        </w:rPr>
        <w:t xml:space="preserve">  Informe </w:t>
      </w:r>
      <w:r w:rsidR="00E45378" w:rsidRPr="002E7E33">
        <w:rPr>
          <w:rFonts w:cs="Calibri"/>
          <w:szCs w:val="20"/>
        </w:rPr>
        <w:t xml:space="preserve"> </w:t>
      </w:r>
      <w:r w:rsidR="003915FF" w:rsidRPr="002E7E33">
        <w:rPr>
          <w:rFonts w:cs="Calibri"/>
          <w:szCs w:val="20"/>
        </w:rPr>
        <w:t xml:space="preserve">completo </w:t>
      </w:r>
      <w:r w:rsidRPr="002E7E33">
        <w:rPr>
          <w:rFonts w:cs="Calibri"/>
          <w:szCs w:val="20"/>
        </w:rPr>
        <w:t xml:space="preserve">de  </w:t>
      </w:r>
      <w:r w:rsidR="00FC2FA4" w:rsidRPr="002E7E33">
        <w:rPr>
          <w:rFonts w:cs="Calibri"/>
          <w:szCs w:val="20"/>
        </w:rPr>
        <w:t>e</w:t>
      </w:r>
      <w:r w:rsidRPr="002E7E33">
        <w:rPr>
          <w:rFonts w:cs="Calibri"/>
          <w:szCs w:val="20"/>
        </w:rPr>
        <w:t>jecución  de</w:t>
      </w:r>
      <w:r w:rsidR="00FC2FA4" w:rsidRPr="002E7E33">
        <w:rPr>
          <w:rFonts w:cs="Calibri"/>
          <w:szCs w:val="20"/>
        </w:rPr>
        <w:t>l  p</w:t>
      </w:r>
      <w:r w:rsidRPr="002E7E33">
        <w:rPr>
          <w:rFonts w:cs="Calibri"/>
          <w:szCs w:val="20"/>
        </w:rPr>
        <w:t xml:space="preserve">resupuesto </w:t>
      </w:r>
      <w:r w:rsidR="003618B2" w:rsidRPr="002E7E33">
        <w:rPr>
          <w:rFonts w:cs="Calibri"/>
          <w:szCs w:val="20"/>
        </w:rPr>
        <w:t xml:space="preserve"> </w:t>
      </w:r>
      <w:r w:rsidRPr="002E7E33">
        <w:rPr>
          <w:rFonts w:cs="Calibri"/>
          <w:szCs w:val="20"/>
        </w:rPr>
        <w:t>correspondiente al primer trimestre de 201</w:t>
      </w:r>
      <w:r w:rsidR="00696D36" w:rsidRPr="002E7E33">
        <w:rPr>
          <w:rFonts w:cs="Calibri"/>
          <w:szCs w:val="20"/>
        </w:rPr>
        <w:t>5</w:t>
      </w:r>
      <w:r w:rsidRPr="002E7E33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1935B2" w:rsidRPr="002E7E33">
        <w:rPr>
          <w:rFonts w:cs="Calibri"/>
          <w:szCs w:val="20"/>
        </w:rPr>
        <w:t xml:space="preserve"> </w:t>
      </w:r>
      <w:r w:rsidR="00586D32" w:rsidRPr="002E7E33">
        <w:rPr>
          <w:rFonts w:cs="Calibri"/>
          <w:b/>
          <w:szCs w:val="20"/>
        </w:rPr>
        <w:t xml:space="preserve">NO </w:t>
      </w:r>
      <w:r w:rsidR="001935B2" w:rsidRPr="002E7E33">
        <w:rPr>
          <w:rFonts w:cs="Calibri"/>
          <w:b/>
          <w:szCs w:val="20"/>
        </w:rPr>
        <w:t>ATENDIDA</w:t>
      </w:r>
    </w:p>
    <w:p w:rsidR="00A204BE" w:rsidRPr="002E7E33" w:rsidRDefault="00A204BE" w:rsidP="002627DF">
      <w:pPr>
        <w:jc w:val="both"/>
        <w:rPr>
          <w:rFonts w:cs="Calibri"/>
          <w:b/>
          <w:szCs w:val="20"/>
        </w:rPr>
      </w:pPr>
    </w:p>
    <w:p w:rsidR="00F15373" w:rsidRPr="002E7E33" w:rsidRDefault="00F15373" w:rsidP="002627DF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2E7E33" w:rsidRDefault="00403388" w:rsidP="00403388">
      <w:pPr>
        <w:pStyle w:val="Sinespaciado"/>
      </w:pPr>
      <w:r w:rsidRPr="002E7E33">
        <w:t>No se emiten recomendaciones respecto a esta fracción.</w:t>
      </w:r>
    </w:p>
    <w:p w:rsidR="00346EB1" w:rsidRPr="002E7E33" w:rsidRDefault="00346EB1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EF5F76" w:rsidRPr="002E7E33" w:rsidRDefault="00EF5F76" w:rsidP="00EF5F76">
      <w:pPr>
        <w:pStyle w:val="Sinespaciado"/>
      </w:pPr>
      <w:r w:rsidRPr="002E7E33">
        <w:t>No se emiten recomendaciones respecto a esta fracción.</w:t>
      </w:r>
    </w:p>
    <w:p w:rsidR="00346EB1" w:rsidRPr="002E7E33" w:rsidRDefault="00346EB1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XI.- Los convenios celebrados con instituciones públicas o privadas;</w:t>
      </w:r>
    </w:p>
    <w:p w:rsidR="00EF5F76" w:rsidRPr="002E7E33" w:rsidRDefault="00EF5F76" w:rsidP="00EF5F76">
      <w:pPr>
        <w:pStyle w:val="Sinespaciado"/>
      </w:pPr>
      <w:r w:rsidRPr="002E7E33">
        <w:t>No se emiten recomendaciones respecto a esta fracción.</w:t>
      </w:r>
    </w:p>
    <w:p w:rsidR="009D40C7" w:rsidRPr="002E7E33" w:rsidRDefault="009D40C7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XII.- El padrón de proveedores;</w:t>
      </w:r>
    </w:p>
    <w:p w:rsidR="00BF2BE3" w:rsidRPr="002E7E33" w:rsidRDefault="00BF2BE3" w:rsidP="00BF2BE3">
      <w:pPr>
        <w:pStyle w:val="Sinespaciado"/>
      </w:pPr>
      <w:r w:rsidRPr="002E7E33">
        <w:t>No se emiten recomendaciones respecto a esta fracción.</w:t>
      </w:r>
    </w:p>
    <w:p w:rsidR="00CC579D" w:rsidRPr="002E7E33" w:rsidRDefault="00CC579D" w:rsidP="00CC579D">
      <w:pPr>
        <w:pStyle w:val="Sinespaciado"/>
        <w:ind w:left="1070"/>
      </w:pPr>
    </w:p>
    <w:p w:rsidR="00BF2BE3" w:rsidRPr="002E7E33" w:rsidRDefault="00BF2BE3" w:rsidP="00E63CAB">
      <w:pPr>
        <w:jc w:val="both"/>
        <w:rPr>
          <w:rFonts w:cs="Calibri"/>
          <w:b/>
          <w:szCs w:val="20"/>
        </w:rPr>
      </w:pPr>
    </w:p>
    <w:p w:rsidR="00625F96" w:rsidRPr="002E7E33" w:rsidRDefault="00F15373" w:rsidP="00625F96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XIII.- El padrón inmobiliario y el vehicular;</w:t>
      </w:r>
    </w:p>
    <w:p w:rsidR="00C26B30" w:rsidRPr="002E7E33" w:rsidRDefault="00625F96" w:rsidP="00CB5B9C">
      <w:pPr>
        <w:jc w:val="both"/>
      </w:pPr>
      <w:r w:rsidRPr="002E7E33">
        <w:t>Con respecto al padrón inmobiliario se recomienda</w:t>
      </w:r>
      <w:r w:rsidR="00C26B30" w:rsidRPr="002E7E33">
        <w:t xml:space="preserve"> publicar: </w:t>
      </w:r>
    </w:p>
    <w:p w:rsidR="00C26B30" w:rsidRPr="002E7E33" w:rsidRDefault="00C47E36" w:rsidP="00686357">
      <w:pPr>
        <w:pStyle w:val="Prrafodelista"/>
        <w:numPr>
          <w:ilvl w:val="0"/>
          <w:numId w:val="29"/>
        </w:numPr>
        <w:jc w:val="both"/>
      </w:pPr>
      <w:r w:rsidRPr="002E7E33">
        <w:t>Valor catastral</w:t>
      </w:r>
      <w:r w:rsidR="005E3C15" w:rsidRPr="002E7E33">
        <w:t>.</w:t>
      </w:r>
      <w:r w:rsidR="00082FE9" w:rsidRPr="002E7E33">
        <w:t xml:space="preserve"> </w:t>
      </w:r>
      <w:r w:rsidR="00082FE9" w:rsidRPr="002E7E33">
        <w:rPr>
          <w:b/>
        </w:rPr>
        <w:t>NO ATENDIDA</w:t>
      </w:r>
    </w:p>
    <w:p w:rsidR="00C26B30" w:rsidRPr="002E7E33" w:rsidRDefault="00C26B30" w:rsidP="005E3C15">
      <w:pPr>
        <w:pStyle w:val="Prrafodelista"/>
        <w:ind w:left="1068"/>
        <w:jc w:val="both"/>
      </w:pPr>
      <w:r w:rsidRPr="002E7E33">
        <w:tab/>
      </w:r>
      <w:r w:rsidRPr="002E7E33">
        <w:tab/>
      </w:r>
    </w:p>
    <w:p w:rsidR="00686357" w:rsidRPr="002E7E33" w:rsidRDefault="00686357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2E7E33" w:rsidRDefault="008A300B" w:rsidP="008A300B">
      <w:pPr>
        <w:pStyle w:val="Sinespaciado"/>
      </w:pPr>
      <w:r w:rsidRPr="002E7E33">
        <w:t>No se emiten recomendaciones respecto a esta fracción.</w:t>
      </w:r>
    </w:p>
    <w:p w:rsidR="00E34E70" w:rsidRPr="002E7E33" w:rsidRDefault="00E34E70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XV.- Los montos asignados y criterios de acceso a los programas sociales;</w:t>
      </w:r>
    </w:p>
    <w:p w:rsidR="00EB0EEF" w:rsidRPr="002E7E33" w:rsidRDefault="00EB0EEF" w:rsidP="00EB0EEF">
      <w:pPr>
        <w:pStyle w:val="Sinespaciado"/>
      </w:pPr>
      <w:r w:rsidRPr="002E7E33">
        <w:t>No se emiten recomendaciones respecto a esta fracción.</w:t>
      </w:r>
    </w:p>
    <w:p w:rsidR="001E4382" w:rsidRPr="002E7E33" w:rsidRDefault="001E4382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2E7E33" w:rsidRDefault="005326F5" w:rsidP="005326F5">
      <w:pPr>
        <w:pStyle w:val="Sinespaciado"/>
        <w:rPr>
          <w:b/>
        </w:rPr>
      </w:pPr>
      <w:r w:rsidRPr="002E7E33">
        <w:rPr>
          <w:b/>
        </w:rPr>
        <w:t>Nota</w:t>
      </w:r>
      <w:r w:rsidR="00304B8A" w:rsidRPr="002E7E33">
        <w:t xml:space="preserve">: ver recomendación general </w:t>
      </w:r>
      <w:r w:rsidR="008A300B" w:rsidRPr="002E7E33">
        <w:t>3</w:t>
      </w:r>
      <w:r w:rsidR="00304B8A" w:rsidRPr="002E7E33">
        <w:t>.</w:t>
      </w:r>
      <w:r w:rsidR="00082FE9" w:rsidRPr="002E7E33">
        <w:t xml:space="preserve"> </w:t>
      </w:r>
      <w:r w:rsidR="00082FE9" w:rsidRPr="002E7E33">
        <w:rPr>
          <w:b/>
        </w:rPr>
        <w:t>NO ATENDIDA</w:t>
      </w:r>
    </w:p>
    <w:p w:rsidR="00760A9F" w:rsidRPr="002E7E33" w:rsidRDefault="00760A9F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a).- La justificación técnica y financiera;</w:t>
      </w:r>
      <w:r w:rsidR="00EC517B" w:rsidRPr="002E7E33">
        <w:rPr>
          <w:rFonts w:cs="Calibri"/>
          <w:b/>
          <w:szCs w:val="20"/>
        </w:rPr>
        <w:t xml:space="preserve"> </w:t>
      </w: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c).- En su caso, las modificaciones a las condiciones originales del contrato.</w:t>
      </w:r>
    </w:p>
    <w:p w:rsidR="00EB0EEF" w:rsidRPr="002E7E33" w:rsidRDefault="00EB0EEF" w:rsidP="00EB0EEF">
      <w:pPr>
        <w:pStyle w:val="Sinespaciado"/>
      </w:pPr>
      <w:r w:rsidRPr="002E7E33">
        <w:t>No se emiten recomendaciones respecto a esta fracción.</w:t>
      </w:r>
    </w:p>
    <w:p w:rsidR="003C7827" w:rsidRPr="002E7E33" w:rsidRDefault="003C7827" w:rsidP="003C7827">
      <w:pPr>
        <w:pStyle w:val="Prrafodelista"/>
        <w:jc w:val="both"/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XVIII.- Las adjudicaciones directas, señalando los motivos y fundamentos legales aplicados;</w:t>
      </w:r>
    </w:p>
    <w:p w:rsidR="006C7530" w:rsidRPr="002E7E33" w:rsidRDefault="006C7530" w:rsidP="006C7530">
      <w:pPr>
        <w:pStyle w:val="Sinespaciado"/>
      </w:pPr>
      <w:r w:rsidRPr="002E7E33">
        <w:t>No se emiten recomendaciones respecto a esta fracción.</w:t>
      </w:r>
    </w:p>
    <w:p w:rsidR="003A6029" w:rsidRPr="002E7E33" w:rsidRDefault="003A6029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7E6486" w:rsidRPr="002E7E33" w:rsidRDefault="007E6486" w:rsidP="007E6486">
      <w:pPr>
        <w:pStyle w:val="Sinespaciado"/>
      </w:pPr>
      <w:r w:rsidRPr="002E7E33">
        <w:t>No se emiten recomendaciones respecto a esta fracción.</w:t>
      </w:r>
    </w:p>
    <w:p w:rsidR="00C675EA" w:rsidRPr="002E7E33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304B8A" w:rsidRPr="002E7E33" w:rsidRDefault="00304B8A" w:rsidP="00304B8A">
      <w:pPr>
        <w:pStyle w:val="Sinespaciado"/>
        <w:rPr>
          <w:b/>
        </w:rPr>
      </w:pPr>
      <w:r w:rsidRPr="002E7E33">
        <w:rPr>
          <w:b/>
        </w:rPr>
        <w:t>Nota</w:t>
      </w:r>
      <w:r w:rsidRPr="002E7E33">
        <w:t xml:space="preserve">: ver recomendación </w:t>
      </w:r>
      <w:r w:rsidR="003C7827" w:rsidRPr="002E7E33">
        <w:t>general 2</w:t>
      </w:r>
      <w:r w:rsidRPr="002E7E33">
        <w:t>.</w:t>
      </w:r>
      <w:r w:rsidR="00082FE9" w:rsidRPr="002E7E33">
        <w:t xml:space="preserve"> </w:t>
      </w:r>
      <w:r w:rsidR="00082FE9" w:rsidRPr="002E7E33">
        <w:rPr>
          <w:b/>
        </w:rPr>
        <w:t>NO ATENDIDA</w:t>
      </w:r>
    </w:p>
    <w:p w:rsidR="00C675EA" w:rsidRPr="002E7E33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2E7E33" w:rsidRDefault="003C7827" w:rsidP="003C7827">
      <w:pPr>
        <w:pStyle w:val="Sinespaciado"/>
      </w:pPr>
      <w:r w:rsidRPr="002E7E33">
        <w:t>No se emiten recomendaciones respecto a esta fracción.</w:t>
      </w:r>
    </w:p>
    <w:p w:rsidR="006174ED" w:rsidRPr="002E7E33" w:rsidRDefault="006174ED" w:rsidP="006174ED">
      <w:pPr>
        <w:pStyle w:val="Sinespaciado"/>
        <w:jc w:val="both"/>
      </w:pPr>
    </w:p>
    <w:p w:rsidR="00686357" w:rsidRPr="002E7E33" w:rsidRDefault="00686357" w:rsidP="00686357">
      <w:pPr>
        <w:pStyle w:val="Sinespaciado"/>
        <w:jc w:val="both"/>
      </w:pPr>
    </w:p>
    <w:p w:rsidR="00F15373" w:rsidRPr="002E7E33" w:rsidRDefault="006174ED" w:rsidP="00686357">
      <w:pPr>
        <w:pStyle w:val="Sinespaciado"/>
        <w:jc w:val="both"/>
        <w:rPr>
          <w:rFonts w:cs="Calibri"/>
          <w:b/>
          <w:szCs w:val="20"/>
        </w:rPr>
      </w:pPr>
      <w:r w:rsidRPr="002E7E33">
        <w:t xml:space="preserve"> </w:t>
      </w:r>
      <w:r w:rsidR="00F15373" w:rsidRPr="002E7E33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86357" w:rsidRPr="002E7E33" w:rsidRDefault="00686357" w:rsidP="00686357">
      <w:pPr>
        <w:pStyle w:val="Sinespaciado"/>
      </w:pPr>
    </w:p>
    <w:p w:rsidR="005C7400" w:rsidRPr="002E7E33" w:rsidRDefault="005C7400" w:rsidP="00686357">
      <w:pPr>
        <w:pStyle w:val="Sinespaciado"/>
      </w:pPr>
      <w:r w:rsidRPr="002E7E33">
        <w:t>Se recomienda publicar adicionalmente la siguiente información:</w:t>
      </w:r>
    </w:p>
    <w:p w:rsidR="00686357" w:rsidRPr="002E7E33" w:rsidRDefault="00686357" w:rsidP="00686357">
      <w:pPr>
        <w:pStyle w:val="Sinespaciado"/>
      </w:pPr>
    </w:p>
    <w:p w:rsidR="005C7400" w:rsidRPr="002E7E33" w:rsidRDefault="005C7400" w:rsidP="00815D7C">
      <w:pPr>
        <w:pStyle w:val="Prrafodelista"/>
        <w:numPr>
          <w:ilvl w:val="0"/>
          <w:numId w:val="26"/>
        </w:numPr>
        <w:jc w:val="both"/>
      </w:pPr>
      <w:r w:rsidRPr="002E7E33">
        <w:t>Área de</w:t>
      </w:r>
      <w:r w:rsidR="00815D7C" w:rsidRPr="002E7E33">
        <w:t xml:space="preserve"> adscripción a la que pertenece el servidor público comisionado.</w:t>
      </w:r>
      <w:r w:rsidR="00561176" w:rsidRPr="002E7E33">
        <w:t xml:space="preserve"> </w:t>
      </w:r>
      <w:r w:rsidR="00561176" w:rsidRPr="002E7E33">
        <w:rPr>
          <w:b/>
        </w:rPr>
        <w:t>ATENDIDA</w:t>
      </w:r>
    </w:p>
    <w:p w:rsidR="00C675EA" w:rsidRPr="002E7E33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2E7E33" w:rsidRDefault="00531C93" w:rsidP="00531C93">
      <w:pPr>
        <w:pStyle w:val="Sinespaciado"/>
        <w:rPr>
          <w:b/>
        </w:rPr>
      </w:pPr>
      <w:r w:rsidRPr="002E7E33">
        <w:rPr>
          <w:b/>
        </w:rPr>
        <w:t>Nota</w:t>
      </w:r>
      <w:r w:rsidRPr="002E7E33">
        <w:t xml:space="preserve">: ver recomendación </w:t>
      </w:r>
      <w:r w:rsidR="00292E42" w:rsidRPr="002E7E33">
        <w:t xml:space="preserve">general </w:t>
      </w:r>
      <w:r w:rsidR="007A4CE6" w:rsidRPr="002E7E33">
        <w:t>2</w:t>
      </w:r>
      <w:r w:rsidR="005226CC" w:rsidRPr="002E7E33">
        <w:t xml:space="preserve"> y </w:t>
      </w:r>
      <w:r w:rsidR="007A4CE6" w:rsidRPr="002E7E33">
        <w:t>4</w:t>
      </w:r>
      <w:r w:rsidRPr="002E7E33">
        <w:t>.</w:t>
      </w:r>
      <w:r w:rsidR="00561176" w:rsidRPr="002E7E33">
        <w:t xml:space="preserve"> </w:t>
      </w:r>
      <w:r w:rsidR="00561176" w:rsidRPr="002E7E33">
        <w:rPr>
          <w:b/>
        </w:rPr>
        <w:t>NO ATENDIDA</w:t>
      </w:r>
    </w:p>
    <w:p w:rsidR="00C81B92" w:rsidRPr="002E7E33" w:rsidRDefault="00C81B92" w:rsidP="00E63CAB">
      <w:pPr>
        <w:jc w:val="both"/>
        <w:rPr>
          <w:rFonts w:cs="Calibri"/>
          <w:b/>
          <w:szCs w:val="20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2E7E33" w:rsidRDefault="00304B8A" w:rsidP="00304B8A">
      <w:pPr>
        <w:pStyle w:val="Sinespaciado"/>
        <w:rPr>
          <w:b/>
        </w:rPr>
      </w:pPr>
      <w:r w:rsidRPr="002E7E33">
        <w:rPr>
          <w:b/>
        </w:rPr>
        <w:t>Nota</w:t>
      </w:r>
      <w:r w:rsidRPr="002E7E33">
        <w:t xml:space="preserve">: ver recomendación </w:t>
      </w:r>
      <w:r w:rsidR="00292E42" w:rsidRPr="002E7E33">
        <w:t xml:space="preserve">general </w:t>
      </w:r>
      <w:r w:rsidR="007A4CE6" w:rsidRPr="002E7E33">
        <w:t>2</w:t>
      </w:r>
      <w:r w:rsidRPr="002E7E33">
        <w:t>.</w:t>
      </w:r>
      <w:r w:rsidR="00561176" w:rsidRPr="002E7E33">
        <w:t xml:space="preserve"> </w:t>
      </w:r>
      <w:r w:rsidR="00561176" w:rsidRPr="002E7E33">
        <w:rPr>
          <w:b/>
        </w:rPr>
        <w:t>NO ATENDIDA</w:t>
      </w:r>
    </w:p>
    <w:p w:rsidR="00837E23" w:rsidRPr="002E7E33" w:rsidRDefault="00837E23" w:rsidP="00283BD8">
      <w:pPr>
        <w:pStyle w:val="Sinespaciado"/>
      </w:pPr>
    </w:p>
    <w:p w:rsidR="005B668B" w:rsidRPr="002E7E33" w:rsidRDefault="005B668B" w:rsidP="00283BD8">
      <w:pPr>
        <w:pStyle w:val="Sinespaciado"/>
        <w:rPr>
          <w:sz w:val="23"/>
          <w:szCs w:val="23"/>
        </w:rPr>
      </w:pPr>
    </w:p>
    <w:p w:rsidR="00F15373" w:rsidRPr="002E7E33" w:rsidRDefault="00F15373" w:rsidP="00E63CAB">
      <w:pPr>
        <w:jc w:val="both"/>
        <w:rPr>
          <w:rFonts w:cs="Calibri"/>
          <w:b/>
          <w:szCs w:val="20"/>
        </w:rPr>
      </w:pPr>
      <w:r w:rsidRPr="002E7E3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2E7E33" w:rsidRDefault="00CA3303" w:rsidP="00982003">
      <w:pPr>
        <w:pStyle w:val="Sinespaciado"/>
      </w:pPr>
      <w:r w:rsidRPr="002E7E33">
        <w:t>No se emiten recomendaciones respecto a esta fracción.</w:t>
      </w:r>
    </w:p>
    <w:p w:rsidR="00F130A7" w:rsidRPr="002E7E33" w:rsidRDefault="00F130A7" w:rsidP="00E63CAB">
      <w:pPr>
        <w:jc w:val="both"/>
        <w:rPr>
          <w:rFonts w:cs="Calibri"/>
          <w:szCs w:val="20"/>
        </w:rPr>
      </w:pPr>
    </w:p>
    <w:p w:rsidR="004149B4" w:rsidRPr="002E7E33" w:rsidRDefault="004149B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2E7E33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2E7E33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86357" w:rsidRPr="002E7E33" w:rsidRDefault="0068635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2E7E33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2E7E33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2E7E33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2E7E33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2E7E33">
        <w:rPr>
          <w:b/>
          <w:bCs/>
          <w:sz w:val="23"/>
          <w:szCs w:val="23"/>
        </w:rPr>
        <w:t xml:space="preserve">I.- </w:t>
      </w:r>
      <w:r w:rsidRPr="002E7E33">
        <w:rPr>
          <w:b/>
          <w:sz w:val="23"/>
          <w:szCs w:val="23"/>
        </w:rPr>
        <w:t>El Plan Estatal de Desarrollo;</w:t>
      </w:r>
    </w:p>
    <w:p w:rsidR="004353DB" w:rsidRPr="002E7E33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2E7E33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2E7E3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2E7E3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E7E3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2E7E33" w:rsidRDefault="003E7599" w:rsidP="003E7599">
      <w:pPr>
        <w:pStyle w:val="Sinespaciado"/>
        <w:rPr>
          <w:b/>
        </w:rPr>
      </w:pPr>
      <w:r w:rsidRPr="002E7E33">
        <w:rPr>
          <w:b/>
        </w:rPr>
        <w:t>Nota</w:t>
      </w:r>
      <w:r w:rsidRPr="002E7E33">
        <w:t>: ver recomendación general</w:t>
      </w:r>
      <w:r w:rsidR="005226CC" w:rsidRPr="002E7E33">
        <w:t xml:space="preserve"> </w:t>
      </w:r>
      <w:r w:rsidR="00730666" w:rsidRPr="002E7E33">
        <w:t>5</w:t>
      </w:r>
      <w:r w:rsidRPr="002E7E33">
        <w:t>.</w:t>
      </w:r>
      <w:r w:rsidR="00561176" w:rsidRPr="002E7E33">
        <w:t xml:space="preserve"> </w:t>
      </w:r>
      <w:r w:rsidR="00561176" w:rsidRPr="002E7E33">
        <w:rPr>
          <w:b/>
        </w:rPr>
        <w:t>NO ATENDIDA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2E7E33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E7E3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9042F" w:rsidRPr="002E7E33" w:rsidRDefault="006F338F" w:rsidP="008D2326">
      <w:pPr>
        <w:jc w:val="both"/>
        <w:rPr>
          <w:rFonts w:asciiTheme="minorHAnsi" w:hAnsiTheme="minorHAnsi" w:cstheme="minorHAnsi"/>
          <w:szCs w:val="20"/>
        </w:rPr>
      </w:pPr>
      <w:r w:rsidRPr="002E7E3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2E7E3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E7E3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2E7E33" w:rsidRDefault="00981302" w:rsidP="008D2326">
      <w:pPr>
        <w:jc w:val="both"/>
        <w:rPr>
          <w:rFonts w:asciiTheme="minorHAnsi" w:hAnsiTheme="minorHAnsi" w:cstheme="minorHAnsi"/>
          <w:szCs w:val="20"/>
        </w:rPr>
      </w:pPr>
      <w:r w:rsidRPr="002E7E3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E7E3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2E7E33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E7E3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2E7E33">
        <w:rPr>
          <w:rFonts w:asciiTheme="minorHAnsi" w:hAnsiTheme="minorHAnsi" w:cstheme="minorHAnsi"/>
          <w:szCs w:val="20"/>
        </w:rPr>
        <w:t>.</w:t>
      </w:r>
    </w:p>
    <w:p w:rsidR="00C675EA" w:rsidRPr="002E7E33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E7E3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2E7E3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2E7E33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E7E3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1F49D1" w:rsidRPr="002E7E33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2E7E33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2E7E33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2E7E33">
        <w:rPr>
          <w:rFonts w:asciiTheme="minorHAnsi" w:hAnsiTheme="minorHAnsi" w:cstheme="minorHAnsi"/>
          <w:b/>
          <w:sz w:val="24"/>
        </w:rPr>
        <w:t>ENTIDAD</w:t>
      </w:r>
      <w:r w:rsidR="00093631" w:rsidRPr="002E7E33">
        <w:rPr>
          <w:rFonts w:asciiTheme="minorHAnsi" w:hAnsiTheme="minorHAnsi" w:cstheme="minorHAnsi"/>
          <w:b/>
          <w:sz w:val="24"/>
        </w:rPr>
        <w:t>:</w:t>
      </w:r>
      <w:r w:rsidR="00AB6483" w:rsidRPr="002E7E33">
        <w:rPr>
          <w:rFonts w:asciiTheme="minorHAnsi" w:hAnsiTheme="minorHAnsi" w:cstheme="minorHAnsi"/>
          <w:b/>
          <w:sz w:val="24"/>
        </w:rPr>
        <w:t xml:space="preserve"> </w:t>
      </w:r>
      <w:r w:rsidR="00686357" w:rsidRPr="002E7E33">
        <w:rPr>
          <w:rFonts w:asciiTheme="minorHAnsi" w:hAnsiTheme="minorHAnsi" w:cstheme="minorHAnsi"/>
          <w:b/>
          <w:sz w:val="24"/>
        </w:rPr>
        <w:t>9</w:t>
      </w:r>
    </w:p>
    <w:p w:rsidR="008D2326" w:rsidRPr="002E7E33" w:rsidRDefault="008D232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586D32" w:rsidRPr="002E7E33">
        <w:rPr>
          <w:rFonts w:asciiTheme="minorHAnsi" w:hAnsiTheme="minorHAnsi" w:cstheme="minorHAnsi"/>
          <w:b/>
          <w:sz w:val="24"/>
        </w:rPr>
        <w:t>4</w:t>
      </w:r>
    </w:p>
    <w:p w:rsidR="008D2326" w:rsidRPr="002E7E33" w:rsidRDefault="008D2326" w:rsidP="008D23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586D32" w:rsidRPr="002E7E33">
        <w:rPr>
          <w:rFonts w:asciiTheme="minorHAnsi" w:hAnsiTheme="minorHAnsi" w:cstheme="minorHAnsi"/>
          <w:b/>
          <w:sz w:val="24"/>
        </w:rPr>
        <w:t>5</w:t>
      </w:r>
    </w:p>
    <w:p w:rsidR="008D2326" w:rsidRPr="002E7E33" w:rsidRDefault="008D232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093631" w:rsidRPr="002E7E3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2E7E33" w:rsidRDefault="00093631" w:rsidP="006863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2E7E33">
        <w:rPr>
          <w:rFonts w:asciiTheme="minorHAnsi" w:hAnsiTheme="minorHAnsi" w:cstheme="minorHAnsi"/>
          <w:b/>
          <w:sz w:val="24"/>
        </w:rPr>
        <w:t>5</w:t>
      </w:r>
    </w:p>
    <w:p w:rsidR="008D2326" w:rsidRPr="002E7E33" w:rsidRDefault="008D2326" w:rsidP="006863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8D2326" w:rsidRPr="00FE46FF" w:rsidRDefault="008D2326" w:rsidP="006863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2E7E33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8D2326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C5" w:rsidRDefault="008E61C5" w:rsidP="000F1546">
      <w:pPr>
        <w:spacing w:after="0" w:line="240" w:lineRule="auto"/>
      </w:pPr>
      <w:r>
        <w:separator/>
      </w:r>
    </w:p>
  </w:endnote>
  <w:endnote w:type="continuationSeparator" w:id="0">
    <w:p w:rsidR="008E61C5" w:rsidRDefault="008E61C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935B2">
            <w:rPr>
              <w:rFonts w:ascii="Cambria" w:hAnsi="Cambria"/>
              <w:sz w:val="16"/>
            </w:rPr>
            <w:t xml:space="preserve">26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E61C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E61C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F285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E7E33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5184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E61C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C5" w:rsidRDefault="008E61C5" w:rsidP="000F1546">
      <w:pPr>
        <w:spacing w:after="0" w:line="240" w:lineRule="auto"/>
      </w:pPr>
      <w:r>
        <w:separator/>
      </w:r>
    </w:p>
  </w:footnote>
  <w:footnote w:type="continuationSeparator" w:id="0">
    <w:p w:rsidR="008E61C5" w:rsidRDefault="008E61C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E7D"/>
    <w:multiLevelType w:val="hybridMultilevel"/>
    <w:tmpl w:val="8B72FF5A"/>
    <w:lvl w:ilvl="0" w:tplc="75CA26F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9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5153"/>
    <w:multiLevelType w:val="hybridMultilevel"/>
    <w:tmpl w:val="8A44F814"/>
    <w:lvl w:ilvl="0" w:tplc="E0CEFD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-2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676" w:hanging="360"/>
      </w:pPr>
    </w:lvl>
    <w:lvl w:ilvl="2" w:tplc="080A001B" w:tentative="1">
      <w:start w:val="1"/>
      <w:numFmt w:val="lowerRoman"/>
      <w:lvlText w:val="%3."/>
      <w:lvlJc w:val="right"/>
      <w:pPr>
        <w:ind w:left="-956" w:hanging="180"/>
      </w:pPr>
    </w:lvl>
    <w:lvl w:ilvl="3" w:tplc="080A000F" w:tentative="1">
      <w:start w:val="1"/>
      <w:numFmt w:val="decimal"/>
      <w:lvlText w:val="%4."/>
      <w:lvlJc w:val="left"/>
      <w:pPr>
        <w:ind w:left="-236" w:hanging="360"/>
      </w:pPr>
    </w:lvl>
    <w:lvl w:ilvl="4" w:tplc="080A0019" w:tentative="1">
      <w:start w:val="1"/>
      <w:numFmt w:val="lowerLetter"/>
      <w:lvlText w:val="%5."/>
      <w:lvlJc w:val="left"/>
      <w:pPr>
        <w:ind w:left="484" w:hanging="360"/>
      </w:pPr>
    </w:lvl>
    <w:lvl w:ilvl="5" w:tplc="080A001B" w:tentative="1">
      <w:start w:val="1"/>
      <w:numFmt w:val="lowerRoman"/>
      <w:lvlText w:val="%6."/>
      <w:lvlJc w:val="right"/>
      <w:pPr>
        <w:ind w:left="1204" w:hanging="180"/>
      </w:pPr>
    </w:lvl>
    <w:lvl w:ilvl="6" w:tplc="080A000F" w:tentative="1">
      <w:start w:val="1"/>
      <w:numFmt w:val="decimal"/>
      <w:lvlText w:val="%7."/>
      <w:lvlJc w:val="left"/>
      <w:pPr>
        <w:ind w:left="1924" w:hanging="360"/>
      </w:pPr>
    </w:lvl>
    <w:lvl w:ilvl="7" w:tplc="080A0019" w:tentative="1">
      <w:start w:val="1"/>
      <w:numFmt w:val="lowerLetter"/>
      <w:lvlText w:val="%8."/>
      <w:lvlJc w:val="left"/>
      <w:pPr>
        <w:ind w:left="2644" w:hanging="360"/>
      </w:pPr>
    </w:lvl>
    <w:lvl w:ilvl="8" w:tplc="080A001B" w:tentative="1">
      <w:start w:val="1"/>
      <w:numFmt w:val="lowerRoman"/>
      <w:lvlText w:val="%9."/>
      <w:lvlJc w:val="right"/>
      <w:pPr>
        <w:ind w:left="3364" w:hanging="180"/>
      </w:pPr>
    </w:lvl>
  </w:abstractNum>
  <w:abstractNum w:abstractNumId="13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E416472"/>
    <w:multiLevelType w:val="hybridMultilevel"/>
    <w:tmpl w:val="5170B6D4"/>
    <w:lvl w:ilvl="0" w:tplc="75CA26F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845A3"/>
    <w:multiLevelType w:val="hybridMultilevel"/>
    <w:tmpl w:val="774E531A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6"/>
  </w:num>
  <w:num w:numId="5">
    <w:abstractNumId w:val="6"/>
  </w:num>
  <w:num w:numId="6">
    <w:abstractNumId w:val="1"/>
  </w:num>
  <w:num w:numId="7">
    <w:abstractNumId w:val="21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0"/>
  </w:num>
  <w:num w:numId="16">
    <w:abstractNumId w:val="10"/>
  </w:num>
  <w:num w:numId="17">
    <w:abstractNumId w:val="5"/>
  </w:num>
  <w:num w:numId="18">
    <w:abstractNumId w:val="2"/>
  </w:num>
  <w:num w:numId="19">
    <w:abstractNumId w:val="25"/>
  </w:num>
  <w:num w:numId="20">
    <w:abstractNumId w:val="14"/>
  </w:num>
  <w:num w:numId="21">
    <w:abstractNumId w:val="13"/>
  </w:num>
  <w:num w:numId="22">
    <w:abstractNumId w:val="18"/>
  </w:num>
  <w:num w:numId="23">
    <w:abstractNumId w:val="19"/>
  </w:num>
  <w:num w:numId="24">
    <w:abstractNumId w:val="11"/>
  </w:num>
  <w:num w:numId="25">
    <w:abstractNumId w:val="7"/>
  </w:num>
  <w:num w:numId="26">
    <w:abstractNumId w:val="8"/>
  </w:num>
  <w:num w:numId="27">
    <w:abstractNumId w:val="3"/>
  </w:num>
  <w:num w:numId="28">
    <w:abstractNumId w:val="28"/>
  </w:num>
  <w:num w:numId="2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2FE9"/>
    <w:rsid w:val="000839FE"/>
    <w:rsid w:val="00083D66"/>
    <w:rsid w:val="000856FE"/>
    <w:rsid w:val="00091E61"/>
    <w:rsid w:val="0009214E"/>
    <w:rsid w:val="00092291"/>
    <w:rsid w:val="00093631"/>
    <w:rsid w:val="000971F8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D7535"/>
    <w:rsid w:val="000E31E5"/>
    <w:rsid w:val="000E3BB2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3B16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935B2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1847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E640E"/>
    <w:rsid w:val="002E6697"/>
    <w:rsid w:val="002E7E33"/>
    <w:rsid w:val="002F28AB"/>
    <w:rsid w:val="002F6581"/>
    <w:rsid w:val="00302CFB"/>
    <w:rsid w:val="00304B8A"/>
    <w:rsid w:val="00307D3E"/>
    <w:rsid w:val="00310D3C"/>
    <w:rsid w:val="00314042"/>
    <w:rsid w:val="00314DBB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1AEF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1176"/>
    <w:rsid w:val="00563858"/>
    <w:rsid w:val="00565248"/>
    <w:rsid w:val="00572019"/>
    <w:rsid w:val="00573844"/>
    <w:rsid w:val="005846F7"/>
    <w:rsid w:val="00585CCF"/>
    <w:rsid w:val="00586343"/>
    <w:rsid w:val="00586D32"/>
    <w:rsid w:val="00587000"/>
    <w:rsid w:val="00587B92"/>
    <w:rsid w:val="005A1A9A"/>
    <w:rsid w:val="005A2299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C7400"/>
    <w:rsid w:val="005E1456"/>
    <w:rsid w:val="005E393C"/>
    <w:rsid w:val="005E3C15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36A7"/>
    <w:rsid w:val="00670C56"/>
    <w:rsid w:val="0067104F"/>
    <w:rsid w:val="00673A2B"/>
    <w:rsid w:val="006741B9"/>
    <w:rsid w:val="00674DFA"/>
    <w:rsid w:val="0068225D"/>
    <w:rsid w:val="00683FE7"/>
    <w:rsid w:val="0068446E"/>
    <w:rsid w:val="00686357"/>
    <w:rsid w:val="006928C5"/>
    <w:rsid w:val="006930DC"/>
    <w:rsid w:val="00693445"/>
    <w:rsid w:val="006934A3"/>
    <w:rsid w:val="00696D36"/>
    <w:rsid w:val="006A3E28"/>
    <w:rsid w:val="006A4232"/>
    <w:rsid w:val="006B0AF5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574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959A5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6486"/>
    <w:rsid w:val="007F073B"/>
    <w:rsid w:val="007F0EF1"/>
    <w:rsid w:val="007F2FCC"/>
    <w:rsid w:val="007F3414"/>
    <w:rsid w:val="007F36EE"/>
    <w:rsid w:val="007F6583"/>
    <w:rsid w:val="007F7025"/>
    <w:rsid w:val="00801668"/>
    <w:rsid w:val="0080367B"/>
    <w:rsid w:val="00803FF2"/>
    <w:rsid w:val="00804D08"/>
    <w:rsid w:val="00804F61"/>
    <w:rsid w:val="00805123"/>
    <w:rsid w:val="008125A0"/>
    <w:rsid w:val="008151C4"/>
    <w:rsid w:val="00815588"/>
    <w:rsid w:val="00815D7C"/>
    <w:rsid w:val="00816C08"/>
    <w:rsid w:val="008201A5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326"/>
    <w:rsid w:val="008D2CA8"/>
    <w:rsid w:val="008D37C3"/>
    <w:rsid w:val="008D5723"/>
    <w:rsid w:val="008E065F"/>
    <w:rsid w:val="008E61C5"/>
    <w:rsid w:val="008E7A83"/>
    <w:rsid w:val="008F09D2"/>
    <w:rsid w:val="008F2854"/>
    <w:rsid w:val="008F447A"/>
    <w:rsid w:val="008F587A"/>
    <w:rsid w:val="00905DC2"/>
    <w:rsid w:val="00905E81"/>
    <w:rsid w:val="009131F2"/>
    <w:rsid w:val="0091374A"/>
    <w:rsid w:val="00917F6F"/>
    <w:rsid w:val="00922A02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0FE2"/>
    <w:rsid w:val="00992C9A"/>
    <w:rsid w:val="009948F2"/>
    <w:rsid w:val="00994A68"/>
    <w:rsid w:val="00994A97"/>
    <w:rsid w:val="00994BDC"/>
    <w:rsid w:val="009A49CC"/>
    <w:rsid w:val="009B0CAE"/>
    <w:rsid w:val="009B119E"/>
    <w:rsid w:val="009B3F97"/>
    <w:rsid w:val="009C2779"/>
    <w:rsid w:val="009C2FCE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87CC7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138E"/>
    <w:rsid w:val="00AE4199"/>
    <w:rsid w:val="00B00195"/>
    <w:rsid w:val="00B0494C"/>
    <w:rsid w:val="00B11263"/>
    <w:rsid w:val="00B21E25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106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47E36"/>
    <w:rsid w:val="00C50727"/>
    <w:rsid w:val="00C53431"/>
    <w:rsid w:val="00C54639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1B92"/>
    <w:rsid w:val="00C8340E"/>
    <w:rsid w:val="00C83F58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2E29"/>
    <w:rsid w:val="00CC579D"/>
    <w:rsid w:val="00CD7680"/>
    <w:rsid w:val="00CD7811"/>
    <w:rsid w:val="00CE0D35"/>
    <w:rsid w:val="00CE32A6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5876"/>
    <w:rsid w:val="00DC6375"/>
    <w:rsid w:val="00DC6CDC"/>
    <w:rsid w:val="00DD50EC"/>
    <w:rsid w:val="00DE10AD"/>
    <w:rsid w:val="00DE22DC"/>
    <w:rsid w:val="00DE4CB3"/>
    <w:rsid w:val="00DE6FBE"/>
    <w:rsid w:val="00DF4911"/>
    <w:rsid w:val="00DF693D"/>
    <w:rsid w:val="00E003F8"/>
    <w:rsid w:val="00E07A12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1F43"/>
    <w:rsid w:val="00E82DC2"/>
    <w:rsid w:val="00E8585A"/>
    <w:rsid w:val="00E87EE8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1751"/>
    <w:rsid w:val="00F1239F"/>
    <w:rsid w:val="00F130A7"/>
    <w:rsid w:val="00F15373"/>
    <w:rsid w:val="00F15CEE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56B71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136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F111-6582-475B-BBDC-E7E54EBC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180</cp:revision>
  <cp:lastPrinted>2015-02-19T20:44:00Z</cp:lastPrinted>
  <dcterms:created xsi:type="dcterms:W3CDTF">2015-07-03T21:50:00Z</dcterms:created>
  <dcterms:modified xsi:type="dcterms:W3CDTF">2016-01-15T22:43:00Z</dcterms:modified>
</cp:coreProperties>
</file>