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A0B" w:rsidRPr="007E26B9" w:rsidRDefault="00454968" w:rsidP="00E63CAB">
      <w:pPr>
        <w:jc w:val="center"/>
        <w:rPr>
          <w:rFonts w:asciiTheme="minorHAnsi" w:hAnsiTheme="minorHAnsi" w:cstheme="minorHAnsi"/>
          <w:b/>
          <w:szCs w:val="20"/>
        </w:rPr>
      </w:pPr>
      <w:r w:rsidRPr="007E26B9">
        <w:rPr>
          <w:rFonts w:asciiTheme="minorHAnsi" w:hAnsiTheme="minorHAnsi" w:cstheme="minorHAnsi"/>
          <w:b/>
        </w:rPr>
        <w:t>RECOMENDACIONES DERIVADAS DEL PROCESO DE EVALUACI</w:t>
      </w:r>
      <w:r w:rsidR="00705B6F" w:rsidRPr="007E26B9">
        <w:rPr>
          <w:rFonts w:asciiTheme="minorHAnsi" w:hAnsiTheme="minorHAnsi" w:cstheme="minorHAnsi"/>
          <w:b/>
        </w:rPr>
        <w:t>Ó</w:t>
      </w:r>
      <w:r w:rsidRPr="007E26B9">
        <w:rPr>
          <w:rFonts w:asciiTheme="minorHAnsi" w:hAnsiTheme="minorHAnsi" w:cstheme="minorHAnsi"/>
          <w:b/>
        </w:rPr>
        <w:t>N DE LA INFORMACIÓN PÚBLICA DE OFICIO QUE DEBEN DAR A CONOCER LOS SUJETOS OBLIGADOS EN SUS PORTALES DE OBLIGACIONES DE TRANSPARENCIA*</w:t>
      </w:r>
    </w:p>
    <w:p w:rsidR="00EB0A17" w:rsidRPr="007E26B9" w:rsidRDefault="00A04534" w:rsidP="00F877A4">
      <w:pPr>
        <w:tabs>
          <w:tab w:val="left" w:pos="2190"/>
          <w:tab w:val="center" w:pos="4606"/>
        </w:tabs>
        <w:jc w:val="center"/>
        <w:rPr>
          <w:rFonts w:asciiTheme="minorHAnsi" w:hAnsiTheme="minorHAnsi" w:cstheme="minorHAnsi"/>
          <w:b/>
          <w:szCs w:val="20"/>
        </w:rPr>
      </w:pPr>
      <w:r w:rsidRPr="007E26B9">
        <w:rPr>
          <w:rFonts w:asciiTheme="minorHAnsi" w:hAnsiTheme="minorHAnsi" w:cstheme="minorHAnsi"/>
          <w:b/>
          <w:szCs w:val="20"/>
        </w:rPr>
        <w:t>INSTITUTO DE PSIQUIATR</w:t>
      </w:r>
      <w:r w:rsidR="00705B6F" w:rsidRPr="007E26B9">
        <w:rPr>
          <w:rFonts w:asciiTheme="minorHAnsi" w:hAnsiTheme="minorHAnsi" w:cstheme="minorHAnsi"/>
          <w:b/>
          <w:szCs w:val="20"/>
        </w:rPr>
        <w:t>Í</w:t>
      </w:r>
      <w:r w:rsidRPr="007E26B9">
        <w:rPr>
          <w:rFonts w:asciiTheme="minorHAnsi" w:hAnsiTheme="minorHAnsi" w:cstheme="minorHAnsi"/>
          <w:b/>
          <w:szCs w:val="20"/>
        </w:rPr>
        <w:t>A DEL ESTADO DE BAJA CALIFORNIA</w:t>
      </w:r>
    </w:p>
    <w:p w:rsidR="00F877A4" w:rsidRPr="007E26B9" w:rsidRDefault="0076783E" w:rsidP="00F877A4">
      <w:pPr>
        <w:tabs>
          <w:tab w:val="left" w:pos="2190"/>
          <w:tab w:val="center" w:pos="4606"/>
        </w:tabs>
        <w:jc w:val="center"/>
        <w:rPr>
          <w:rFonts w:asciiTheme="minorHAnsi" w:hAnsiTheme="minorHAnsi" w:cstheme="minorHAnsi"/>
          <w:b/>
          <w:szCs w:val="20"/>
        </w:rPr>
      </w:pPr>
      <w:r w:rsidRPr="007E26B9">
        <w:rPr>
          <w:rFonts w:asciiTheme="minorHAnsi" w:hAnsiTheme="minorHAnsi" w:cstheme="minorHAnsi"/>
          <w:b/>
          <w:szCs w:val="20"/>
        </w:rPr>
        <w:t>3R</w:t>
      </w:r>
      <w:r w:rsidR="00F877A4" w:rsidRPr="007E26B9">
        <w:rPr>
          <w:rFonts w:asciiTheme="minorHAnsi" w:hAnsiTheme="minorHAnsi" w:cstheme="minorHAnsi"/>
          <w:b/>
          <w:szCs w:val="20"/>
        </w:rPr>
        <w:t>A. EVALUACIÓN 2015</w:t>
      </w:r>
    </w:p>
    <w:p w:rsidR="001222C0" w:rsidRPr="007E26B9" w:rsidRDefault="001222C0" w:rsidP="00E63CAB">
      <w:pPr>
        <w:jc w:val="both"/>
        <w:rPr>
          <w:rFonts w:cs="Calibri"/>
          <w:b/>
          <w:szCs w:val="20"/>
        </w:rPr>
      </w:pPr>
    </w:p>
    <w:p w:rsidR="00F15373" w:rsidRPr="007E26B9" w:rsidRDefault="00F15373" w:rsidP="00E63CAB">
      <w:pPr>
        <w:jc w:val="both"/>
        <w:rPr>
          <w:rFonts w:cs="Calibri"/>
          <w:b/>
          <w:szCs w:val="20"/>
        </w:rPr>
      </w:pPr>
      <w:r w:rsidRPr="007E26B9">
        <w:rPr>
          <w:rFonts w:cs="Calibri"/>
          <w:b/>
          <w:szCs w:val="20"/>
        </w:rPr>
        <w:t>Artículo 11.- Los sujetos obligados deberán, de oficio, poner a disposición del público, la siguiente información:</w:t>
      </w:r>
    </w:p>
    <w:p w:rsidR="00670C56" w:rsidRPr="007E26B9" w:rsidRDefault="00F15373" w:rsidP="00670C56">
      <w:pPr>
        <w:jc w:val="both"/>
        <w:rPr>
          <w:b/>
        </w:rPr>
      </w:pPr>
      <w:r w:rsidRPr="007E26B9">
        <w:rPr>
          <w:rFonts w:cs="Calibri"/>
          <w:b/>
          <w:szCs w:val="20"/>
        </w:rPr>
        <w:t>I.- Sus facultades y los indicadores de gestión utilizados para evaluar su desempeño, metas y objeti</w:t>
      </w:r>
      <w:r w:rsidR="00670C56" w:rsidRPr="007E26B9">
        <w:rPr>
          <w:rFonts w:cs="Calibri"/>
          <w:b/>
          <w:szCs w:val="20"/>
        </w:rPr>
        <w:t>vos de sus programas operativos.</w:t>
      </w:r>
    </w:p>
    <w:p w:rsidR="00151F92" w:rsidRPr="007E26B9" w:rsidRDefault="00CC505C" w:rsidP="00D95865">
      <w:pPr>
        <w:pStyle w:val="Sinespaciado"/>
        <w:numPr>
          <w:ilvl w:val="0"/>
          <w:numId w:val="8"/>
        </w:numPr>
        <w:jc w:val="both"/>
      </w:pPr>
      <w:r w:rsidRPr="007E26B9">
        <w:t xml:space="preserve">Se </w:t>
      </w:r>
      <w:r w:rsidR="00A37C2A" w:rsidRPr="007E26B9">
        <w:t>recomienda</w:t>
      </w:r>
      <w:r w:rsidRPr="007E26B9">
        <w:t xml:space="preserve"> incorporar la totalidad de las facultades de cada una de las unidades administrativas u órganos que forman parte del Sujeto Obligado</w:t>
      </w:r>
      <w:r w:rsidR="00A37C2A" w:rsidRPr="007E26B9">
        <w:t xml:space="preserve"> como lo marca el reglamento interno del IPEBC</w:t>
      </w:r>
      <w:r w:rsidR="00D05BD2" w:rsidRPr="007E26B9">
        <w:t xml:space="preserve">.  </w:t>
      </w:r>
      <w:r w:rsidR="0076783E" w:rsidRPr="007E26B9">
        <w:t xml:space="preserve"> </w:t>
      </w:r>
      <w:r w:rsidR="0076783E" w:rsidRPr="007E26B9">
        <w:rPr>
          <w:b/>
        </w:rPr>
        <w:t>ATENDIDA</w:t>
      </w:r>
    </w:p>
    <w:p w:rsidR="00E73B87" w:rsidRPr="007E26B9" w:rsidRDefault="00E73B87" w:rsidP="00982003">
      <w:pPr>
        <w:pStyle w:val="Sinespaciado"/>
      </w:pPr>
    </w:p>
    <w:p w:rsidR="00F15373" w:rsidRPr="007E26B9" w:rsidRDefault="00F15373" w:rsidP="00E63CAB">
      <w:pPr>
        <w:jc w:val="both"/>
        <w:rPr>
          <w:rFonts w:cs="Calibri"/>
          <w:b/>
          <w:szCs w:val="20"/>
        </w:rPr>
      </w:pPr>
      <w:r w:rsidRPr="007E26B9">
        <w:rPr>
          <w:rFonts w:cs="Calibri"/>
          <w:b/>
          <w:szCs w:val="20"/>
        </w:rPr>
        <w:t>II.- Su estructura orgánica;</w:t>
      </w:r>
    </w:p>
    <w:p w:rsidR="006930DC" w:rsidRPr="007E26B9" w:rsidRDefault="0088691A" w:rsidP="0076783E">
      <w:pPr>
        <w:pStyle w:val="Sinespaciado"/>
      </w:pPr>
      <w:r w:rsidRPr="007E26B9">
        <w:t>No se emiten recomendaciones respecto a esta fracción.</w:t>
      </w:r>
    </w:p>
    <w:p w:rsidR="0076783E" w:rsidRPr="007E26B9" w:rsidRDefault="0076783E" w:rsidP="0076783E">
      <w:pPr>
        <w:pStyle w:val="Sinespaciado"/>
      </w:pPr>
    </w:p>
    <w:p w:rsidR="00D02B96" w:rsidRPr="007E26B9" w:rsidRDefault="00517DC3" w:rsidP="00517DC3">
      <w:pPr>
        <w:jc w:val="both"/>
        <w:rPr>
          <w:rFonts w:cs="Calibri"/>
          <w:b/>
          <w:szCs w:val="20"/>
        </w:rPr>
      </w:pPr>
      <w:r w:rsidRPr="007E26B9">
        <w:rPr>
          <w:rFonts w:cs="Calibri"/>
          <w:b/>
          <w:szCs w:val="20"/>
        </w:rPr>
        <w:t>III.- La información curricular de los servidores públicos, desde el nivel de jefe de departamento o sus equivalentes hasta el nivel del funcionario de mayor jerarquía;</w:t>
      </w:r>
    </w:p>
    <w:p w:rsidR="006930DC" w:rsidRPr="007E26B9" w:rsidRDefault="00F01F5F" w:rsidP="0076783E">
      <w:pPr>
        <w:pStyle w:val="Sinespaciado"/>
        <w:numPr>
          <w:ilvl w:val="0"/>
          <w:numId w:val="9"/>
        </w:numPr>
      </w:pPr>
      <w:r w:rsidRPr="007E26B9">
        <w:t>Se recomienda publicar información curricular de 13 servidores públicos adicionales, los cuales fueron ubicados en la fracción II de este mismo artículo en la que se reportan 34 unidades administrativas</w:t>
      </w:r>
      <w:r w:rsidR="00D05BD2" w:rsidRPr="007E26B9">
        <w:t xml:space="preserve">.  </w:t>
      </w:r>
      <w:r w:rsidR="0076783E" w:rsidRPr="007E26B9">
        <w:rPr>
          <w:b/>
        </w:rPr>
        <w:t>ATENDIDA</w:t>
      </w:r>
      <w:r w:rsidRPr="007E26B9">
        <w:t>.</w:t>
      </w:r>
    </w:p>
    <w:p w:rsidR="0076783E" w:rsidRPr="007E26B9" w:rsidRDefault="0076783E" w:rsidP="0076783E">
      <w:pPr>
        <w:pStyle w:val="Sinespaciado"/>
        <w:ind w:left="1068"/>
      </w:pPr>
    </w:p>
    <w:p w:rsidR="00517DC3" w:rsidRPr="007E26B9" w:rsidRDefault="00517DC3" w:rsidP="00517DC3">
      <w:pPr>
        <w:jc w:val="both"/>
        <w:rPr>
          <w:rFonts w:cs="Calibri"/>
          <w:b/>
          <w:szCs w:val="20"/>
        </w:rPr>
      </w:pPr>
      <w:r w:rsidRPr="007E26B9">
        <w:rPr>
          <w:rFonts w:cs="Calibri"/>
          <w:b/>
          <w:szCs w:val="20"/>
        </w:rPr>
        <w:t>IV.- Los servicios que ofrecen, los trámites, requisitos y formatos y, en su caso, el monto de los derechos para acceder a los mismos;</w:t>
      </w:r>
    </w:p>
    <w:p w:rsidR="005C3C13" w:rsidRPr="007E26B9" w:rsidRDefault="005C3C13" w:rsidP="005C3C13">
      <w:pPr>
        <w:pStyle w:val="Sinespaciado"/>
      </w:pPr>
      <w:r w:rsidRPr="007E26B9">
        <w:t>No se emiten recomendaciones respecto a esta fracción.</w:t>
      </w:r>
    </w:p>
    <w:p w:rsidR="00517DC3" w:rsidRPr="007E26B9" w:rsidRDefault="00517DC3" w:rsidP="00E63CAB">
      <w:pPr>
        <w:jc w:val="both"/>
        <w:rPr>
          <w:rFonts w:cs="Calibri"/>
          <w:b/>
          <w:szCs w:val="20"/>
        </w:rPr>
      </w:pPr>
    </w:p>
    <w:p w:rsidR="0076783E" w:rsidRPr="007E26B9" w:rsidRDefault="0076783E" w:rsidP="00E63CAB">
      <w:pPr>
        <w:jc w:val="both"/>
        <w:rPr>
          <w:rFonts w:cs="Calibri"/>
          <w:b/>
          <w:szCs w:val="20"/>
        </w:rPr>
      </w:pPr>
    </w:p>
    <w:p w:rsidR="0076783E" w:rsidRPr="007E26B9" w:rsidRDefault="0076783E" w:rsidP="00E63CAB">
      <w:pPr>
        <w:jc w:val="both"/>
        <w:rPr>
          <w:rFonts w:cs="Calibri"/>
          <w:b/>
          <w:szCs w:val="20"/>
        </w:rPr>
      </w:pPr>
    </w:p>
    <w:p w:rsidR="007F073B" w:rsidRPr="007E26B9" w:rsidRDefault="007F073B" w:rsidP="00E63CAB">
      <w:pPr>
        <w:jc w:val="both"/>
        <w:rPr>
          <w:rFonts w:cs="Calibri"/>
          <w:b/>
          <w:szCs w:val="20"/>
        </w:rPr>
      </w:pPr>
    </w:p>
    <w:p w:rsidR="006930DC" w:rsidRPr="007E26B9" w:rsidRDefault="006934A3" w:rsidP="006930DC">
      <w:pPr>
        <w:jc w:val="both"/>
        <w:rPr>
          <w:rFonts w:cs="Calibri"/>
          <w:sz w:val="18"/>
          <w:szCs w:val="20"/>
        </w:rPr>
      </w:pPr>
      <w:r w:rsidRPr="007E26B9">
        <w:rPr>
          <w:rFonts w:cs="Calibri"/>
          <w:b/>
          <w:sz w:val="18"/>
          <w:szCs w:val="20"/>
        </w:rPr>
        <w:t>N</w:t>
      </w:r>
      <w:r w:rsidR="006930DC" w:rsidRPr="007E26B9">
        <w:rPr>
          <w:rFonts w:cs="Calibri"/>
          <w:b/>
          <w:sz w:val="18"/>
          <w:szCs w:val="20"/>
        </w:rPr>
        <w:t>OTA</w:t>
      </w:r>
      <w:r w:rsidR="00A90366" w:rsidRPr="007E26B9">
        <w:rPr>
          <w:rFonts w:cs="Calibri"/>
          <w:sz w:val="18"/>
          <w:szCs w:val="20"/>
        </w:rPr>
        <w:t>: E</w:t>
      </w:r>
      <w:r w:rsidR="006930DC" w:rsidRPr="007E26B9">
        <w:rPr>
          <w:rFonts w:cs="Calibri"/>
          <w:sz w:val="18"/>
          <w:szCs w:val="20"/>
        </w:rPr>
        <w:t>n base en la Guía Referencial de Criterios para la Interpretación y Evaluación de la Información Pública de Oficio señalada en el Artículo 11 de la LTAIPBC.</w:t>
      </w:r>
    </w:p>
    <w:p w:rsidR="00F15373" w:rsidRPr="007E26B9" w:rsidRDefault="00F15373" w:rsidP="00E63CAB">
      <w:pPr>
        <w:jc w:val="both"/>
        <w:rPr>
          <w:rFonts w:cs="Calibri"/>
          <w:b/>
          <w:szCs w:val="20"/>
        </w:rPr>
      </w:pPr>
      <w:r w:rsidRPr="007E26B9">
        <w:rPr>
          <w:rFonts w:cs="Calibri"/>
          <w:b/>
          <w:szCs w:val="20"/>
        </w:rPr>
        <w:lastRenderedPageBreak/>
        <w:t>V.- Los informes de acceso a la información, que contengan cuando menos:</w:t>
      </w:r>
    </w:p>
    <w:p w:rsidR="00F15373" w:rsidRPr="007E26B9" w:rsidRDefault="00F15373" w:rsidP="00E63CAB">
      <w:pPr>
        <w:jc w:val="both"/>
        <w:rPr>
          <w:rFonts w:cs="Calibri"/>
          <w:b/>
          <w:szCs w:val="20"/>
        </w:rPr>
      </w:pPr>
      <w:r w:rsidRPr="007E26B9">
        <w:rPr>
          <w:rFonts w:cs="Calibri"/>
          <w:b/>
          <w:szCs w:val="20"/>
        </w:rPr>
        <w:t>a).- Número de solicitudes de información que les han sido presentadas;</w:t>
      </w:r>
    </w:p>
    <w:p w:rsidR="00F15373" w:rsidRPr="007E26B9" w:rsidRDefault="00F15373" w:rsidP="00E63CAB">
      <w:pPr>
        <w:jc w:val="both"/>
        <w:rPr>
          <w:rFonts w:cs="Calibri"/>
          <w:b/>
          <w:szCs w:val="20"/>
        </w:rPr>
      </w:pPr>
      <w:r w:rsidRPr="007E26B9">
        <w:rPr>
          <w:rFonts w:cs="Calibri"/>
          <w:b/>
          <w:szCs w:val="20"/>
        </w:rPr>
        <w:t>b).- Objeto de las solicitudes;</w:t>
      </w:r>
    </w:p>
    <w:p w:rsidR="00F15373" w:rsidRPr="007E26B9" w:rsidRDefault="00F15373" w:rsidP="00E63CAB">
      <w:pPr>
        <w:jc w:val="both"/>
        <w:rPr>
          <w:rFonts w:cs="Calibri"/>
          <w:b/>
          <w:szCs w:val="20"/>
        </w:rPr>
      </w:pPr>
      <w:r w:rsidRPr="007E26B9">
        <w:rPr>
          <w:rFonts w:cs="Calibri"/>
          <w:b/>
          <w:szCs w:val="20"/>
        </w:rPr>
        <w:t>c).- Solicitudes procesadas y respondidas, así como el número de aquellas que se encuentren pendientes; y</w:t>
      </w:r>
    </w:p>
    <w:p w:rsidR="00F15373" w:rsidRPr="007E26B9" w:rsidRDefault="00F15373" w:rsidP="00E63CAB">
      <w:pPr>
        <w:jc w:val="both"/>
        <w:rPr>
          <w:rFonts w:cs="Calibri"/>
          <w:b/>
          <w:szCs w:val="20"/>
        </w:rPr>
      </w:pPr>
      <w:r w:rsidRPr="007E26B9">
        <w:rPr>
          <w:rFonts w:cs="Calibri"/>
          <w:b/>
          <w:szCs w:val="20"/>
        </w:rPr>
        <w:t>d).- Las solicitudes que hayan sido denegadas y los fundamentos por lo que fueron desechadas.</w:t>
      </w:r>
    </w:p>
    <w:p w:rsidR="00C675EA" w:rsidRPr="007E26B9" w:rsidRDefault="00C024AC" w:rsidP="00490D1E">
      <w:pPr>
        <w:pStyle w:val="Sinespaciado"/>
      </w:pPr>
      <w:r w:rsidRPr="007E26B9">
        <w:rPr>
          <w:b/>
        </w:rPr>
        <w:t>Nota</w:t>
      </w:r>
      <w:r w:rsidR="00CC1E7D" w:rsidRPr="007E26B9">
        <w:rPr>
          <w:b/>
        </w:rPr>
        <w:t>:</w:t>
      </w:r>
      <w:r w:rsidR="00CC1E7D" w:rsidRPr="007E26B9">
        <w:t xml:space="preserve"> ver</w:t>
      </w:r>
      <w:r w:rsidR="001C3C62" w:rsidRPr="007E26B9">
        <w:t xml:space="preserve"> </w:t>
      </w:r>
      <w:r w:rsidRPr="007E26B9">
        <w:t>recomendación</w:t>
      </w:r>
      <w:r w:rsidR="001C3C62" w:rsidRPr="007E26B9">
        <w:t xml:space="preserve"> general</w:t>
      </w:r>
      <w:r w:rsidR="00761600" w:rsidRPr="007E26B9">
        <w:t xml:space="preserve"> </w:t>
      </w:r>
      <w:r w:rsidR="005C3C13" w:rsidRPr="007E26B9">
        <w:t xml:space="preserve"> </w:t>
      </w:r>
      <w:r w:rsidR="003A748B" w:rsidRPr="007E26B9">
        <w:t>1</w:t>
      </w:r>
      <w:r w:rsidR="00151F92" w:rsidRPr="007E26B9">
        <w:t xml:space="preserve"> y 2</w:t>
      </w:r>
      <w:r w:rsidRPr="007E26B9">
        <w:t>.</w:t>
      </w:r>
      <w:r w:rsidR="00315318" w:rsidRPr="007E26B9">
        <w:t xml:space="preserve">  </w:t>
      </w:r>
      <w:r w:rsidR="00315318" w:rsidRPr="007E26B9">
        <w:rPr>
          <w:b/>
        </w:rPr>
        <w:t>NO ATENDIDA</w:t>
      </w:r>
    </w:p>
    <w:p w:rsidR="00490D1E" w:rsidRPr="007E26B9" w:rsidRDefault="00490D1E" w:rsidP="00490D1E">
      <w:pPr>
        <w:pStyle w:val="Sinespaciado"/>
      </w:pPr>
    </w:p>
    <w:p w:rsidR="00F15373" w:rsidRPr="007E26B9" w:rsidRDefault="00F15373" w:rsidP="00E63CAB">
      <w:pPr>
        <w:jc w:val="both"/>
        <w:rPr>
          <w:rFonts w:cs="Calibri"/>
          <w:b/>
          <w:szCs w:val="20"/>
        </w:rPr>
      </w:pPr>
      <w:r w:rsidRPr="007E26B9">
        <w:rPr>
          <w:rFonts w:cs="Calibri"/>
          <w:b/>
          <w:szCs w:val="20"/>
        </w:rPr>
        <w:t>VI.- El directorio de servidores públicos, desde el nivel de jefe de departamento o sus equivalentes, hasta el nivel del funcionario de mayor jerarquía. En el caso de los funcionarios jurisdiccionales, deberá incluir desde el nivel de actuario o equivalente.</w:t>
      </w:r>
    </w:p>
    <w:p w:rsidR="00572019" w:rsidRPr="007E26B9" w:rsidRDefault="00F01F5F" w:rsidP="00E63CAB">
      <w:pPr>
        <w:pStyle w:val="Sinespaciado"/>
        <w:numPr>
          <w:ilvl w:val="0"/>
          <w:numId w:val="10"/>
        </w:numPr>
        <w:jc w:val="both"/>
      </w:pPr>
      <w:r w:rsidRPr="007E26B9">
        <w:t>Se recomienda incorporar en el directorio información de contacto de 10 servidores públicos adicionales, cuyas áreas administrativas a las que se encuentran adscritos fueron detectadas en la fracción II de este mismo artículo.</w:t>
      </w:r>
      <w:r w:rsidR="00D05BD2" w:rsidRPr="007E26B9">
        <w:t xml:space="preserve"> </w:t>
      </w:r>
      <w:r w:rsidR="00D05BD2" w:rsidRPr="007E26B9">
        <w:rPr>
          <w:b/>
        </w:rPr>
        <w:t>NO ATENDIDA</w:t>
      </w:r>
    </w:p>
    <w:p w:rsidR="00490D1E" w:rsidRPr="007E26B9" w:rsidRDefault="00490D1E" w:rsidP="00490D1E">
      <w:pPr>
        <w:pStyle w:val="Sinespaciado"/>
        <w:ind w:left="1070"/>
        <w:jc w:val="both"/>
      </w:pPr>
    </w:p>
    <w:p w:rsidR="00F15373" w:rsidRPr="007E26B9" w:rsidRDefault="00F15373" w:rsidP="00E63CAB">
      <w:pPr>
        <w:jc w:val="both"/>
        <w:rPr>
          <w:rFonts w:cs="Calibri"/>
          <w:b/>
          <w:szCs w:val="20"/>
        </w:rPr>
      </w:pPr>
      <w:r w:rsidRPr="007E26B9">
        <w:rPr>
          <w:rFonts w:cs="Calibri"/>
          <w:b/>
          <w:szCs w:val="20"/>
        </w:rPr>
        <w:t>VII.- Plantilla del personal indicando el nombre, puesto, adscripción, remuneración mensual que considere prestaciones, estímulos o compensaciones y cualquier otra percepción en dinero o en especie, de todos los servidores públicos de los sujetos obligados, incluyendo a sus titulares;</w:t>
      </w:r>
    </w:p>
    <w:p w:rsidR="004A3FE6" w:rsidRPr="007E26B9" w:rsidRDefault="004A3FE6" w:rsidP="00E5002A">
      <w:pPr>
        <w:pStyle w:val="Prrafodelista"/>
        <w:numPr>
          <w:ilvl w:val="0"/>
          <w:numId w:val="14"/>
        </w:numPr>
        <w:tabs>
          <w:tab w:val="left" w:pos="426"/>
        </w:tabs>
        <w:jc w:val="both"/>
      </w:pPr>
      <w:r w:rsidRPr="007E26B9">
        <w:t>Se recomienda indicar la ciudad de adscripción del servidor p</w:t>
      </w:r>
      <w:r w:rsidR="006878F1" w:rsidRPr="007E26B9">
        <w:t>úblico,</w:t>
      </w:r>
      <w:r w:rsidR="00D05BD2" w:rsidRPr="007E26B9">
        <w:t xml:space="preserve"> </w:t>
      </w:r>
      <w:r w:rsidR="00D05BD2" w:rsidRPr="007E26B9">
        <w:rPr>
          <w:b/>
        </w:rPr>
        <w:t>NO ATENDIDA</w:t>
      </w:r>
    </w:p>
    <w:p w:rsidR="00A37C2A" w:rsidRPr="007E26B9" w:rsidRDefault="009B7EDD" w:rsidP="00E5002A">
      <w:pPr>
        <w:pStyle w:val="Prrafodelista"/>
        <w:numPr>
          <w:ilvl w:val="0"/>
          <w:numId w:val="14"/>
        </w:numPr>
        <w:tabs>
          <w:tab w:val="left" w:pos="426"/>
        </w:tabs>
        <w:jc w:val="both"/>
      </w:pPr>
      <w:r w:rsidRPr="007E26B9">
        <w:t>La unidad administrativa de adscripción, y</w:t>
      </w:r>
      <w:r w:rsidR="00D05BD2" w:rsidRPr="007E26B9">
        <w:t xml:space="preserve">  </w:t>
      </w:r>
      <w:r w:rsidR="00D05BD2" w:rsidRPr="007E26B9">
        <w:rPr>
          <w:b/>
        </w:rPr>
        <w:t>NO ATENDIDA</w:t>
      </w:r>
    </w:p>
    <w:p w:rsidR="009F4401" w:rsidRPr="007E26B9" w:rsidRDefault="006878F1" w:rsidP="00490D1E">
      <w:pPr>
        <w:pStyle w:val="Prrafodelista"/>
        <w:numPr>
          <w:ilvl w:val="0"/>
          <w:numId w:val="14"/>
        </w:numPr>
        <w:tabs>
          <w:tab w:val="left" w:pos="426"/>
        </w:tabs>
        <w:jc w:val="both"/>
      </w:pPr>
      <w:r w:rsidRPr="007E26B9">
        <w:t>P</w:t>
      </w:r>
      <w:r w:rsidR="009F4401" w:rsidRPr="007E26B9">
        <w:t xml:space="preserve">ublicar información </w:t>
      </w:r>
      <w:r w:rsidR="0088691A" w:rsidRPr="007E26B9">
        <w:t xml:space="preserve">desglosando </w:t>
      </w:r>
      <w:r w:rsidRPr="007E26B9">
        <w:t xml:space="preserve">cualquier </w:t>
      </w:r>
      <w:r w:rsidR="0088691A" w:rsidRPr="007E26B9">
        <w:t xml:space="preserve">deducción a las remuneraciones que reciban con respecto al ejercicio de sus funciones. </w:t>
      </w:r>
      <w:r w:rsidR="009F4401" w:rsidRPr="007E26B9">
        <w:rPr>
          <w:rFonts w:cs="Calibri"/>
          <w:szCs w:val="20"/>
        </w:rPr>
        <w:t xml:space="preserve">   </w:t>
      </w:r>
      <w:r w:rsidR="00D05BD2" w:rsidRPr="007E26B9">
        <w:rPr>
          <w:rFonts w:cs="Calibri"/>
          <w:szCs w:val="20"/>
        </w:rPr>
        <w:t xml:space="preserve"> </w:t>
      </w:r>
      <w:r w:rsidR="00D05BD2" w:rsidRPr="007E26B9">
        <w:rPr>
          <w:rFonts w:cs="Calibri"/>
          <w:b/>
          <w:szCs w:val="20"/>
        </w:rPr>
        <w:t>NO ATENDIDA</w:t>
      </w:r>
    </w:p>
    <w:p w:rsidR="004F1604" w:rsidRPr="007E26B9" w:rsidRDefault="004F1604" w:rsidP="004F1604">
      <w:pPr>
        <w:jc w:val="both"/>
        <w:rPr>
          <w:rFonts w:cs="Calibri"/>
          <w:b/>
          <w:szCs w:val="20"/>
        </w:rPr>
      </w:pPr>
      <w:r w:rsidRPr="007E26B9">
        <w:rPr>
          <w:rFonts w:cs="Calibri"/>
          <w:b/>
          <w:szCs w:val="20"/>
        </w:rPr>
        <w:t>VIII.- Respecto del presupuesto de egresos:</w:t>
      </w:r>
    </w:p>
    <w:p w:rsidR="004F1604" w:rsidRPr="007E26B9" w:rsidRDefault="004F1604" w:rsidP="004A663A">
      <w:pPr>
        <w:pStyle w:val="Prrafodelista"/>
        <w:numPr>
          <w:ilvl w:val="0"/>
          <w:numId w:val="1"/>
        </w:numPr>
        <w:jc w:val="both"/>
        <w:rPr>
          <w:rFonts w:cs="Calibri"/>
          <w:b/>
          <w:szCs w:val="20"/>
        </w:rPr>
      </w:pPr>
      <w:r w:rsidRPr="007E26B9">
        <w:rPr>
          <w:rFonts w:cs="Calibri"/>
          <w:b/>
          <w:szCs w:val="20"/>
        </w:rPr>
        <w:t>Se presentará de manera detallada en los términos y formato en el que fue aprobado, agrupándolo por programas, grupos, partidas de gastos, informes sobres su ejecución; así como de la situación financiera y en su caso, respecto a la deuda pública;</w:t>
      </w:r>
    </w:p>
    <w:p w:rsidR="004F1604" w:rsidRPr="007E26B9" w:rsidRDefault="004F1604" w:rsidP="004A663A">
      <w:pPr>
        <w:pStyle w:val="Prrafodelista"/>
        <w:numPr>
          <w:ilvl w:val="0"/>
          <w:numId w:val="1"/>
        </w:numPr>
        <w:jc w:val="both"/>
        <w:rPr>
          <w:rFonts w:cs="Calibri"/>
          <w:szCs w:val="20"/>
        </w:rPr>
      </w:pPr>
      <w:r w:rsidRPr="007E26B9">
        <w:rPr>
          <w:rFonts w:cs="Calibri"/>
          <w:b/>
          <w:szCs w:val="20"/>
        </w:rPr>
        <w:t>Se presentará en el formato de Presupuesto Ciudadano previsto en la Ley de Presupuesto y Ejercicio del Gasto Público del Estado; debiendo contener de manera generalizada, toda la información relativa al ejercicio del gasto así como del origen y objeto de los recursos públicos. La información contenida deberá ser expuesta de manera sencilla y de fácil comprensión para el ciudadano no familiarizado con términos contables o administrativos</w:t>
      </w:r>
      <w:r w:rsidR="00A7355B" w:rsidRPr="007E26B9">
        <w:rPr>
          <w:rFonts w:cs="Calibri"/>
          <w:b/>
          <w:szCs w:val="20"/>
        </w:rPr>
        <w:t>.</w:t>
      </w:r>
      <w:r w:rsidR="00315318" w:rsidRPr="007E26B9">
        <w:rPr>
          <w:rFonts w:cs="Calibri"/>
          <w:b/>
          <w:szCs w:val="20"/>
        </w:rPr>
        <w:t xml:space="preserve">    </w:t>
      </w:r>
    </w:p>
    <w:p w:rsidR="00315318" w:rsidRPr="007E26B9" w:rsidRDefault="00315318" w:rsidP="00315318">
      <w:pPr>
        <w:jc w:val="both"/>
        <w:rPr>
          <w:rFonts w:cs="Calibri"/>
          <w:szCs w:val="20"/>
        </w:rPr>
      </w:pPr>
    </w:p>
    <w:p w:rsidR="002627DF" w:rsidRPr="007E26B9" w:rsidRDefault="009F4401" w:rsidP="004A663A">
      <w:pPr>
        <w:pStyle w:val="Prrafodelista"/>
        <w:numPr>
          <w:ilvl w:val="0"/>
          <w:numId w:val="3"/>
        </w:numPr>
        <w:jc w:val="both"/>
      </w:pPr>
      <w:r w:rsidRPr="007E26B9">
        <w:lastRenderedPageBreak/>
        <w:t>Se  recomienda  publicar  información    referente  al  Presupuesto  de  Egresos  aprobado  para  el año en curso por programas</w:t>
      </w:r>
      <w:r w:rsidR="00404D32" w:rsidRPr="007E26B9">
        <w:rPr>
          <w:rFonts w:cs="Calibri"/>
          <w:szCs w:val="20"/>
        </w:rPr>
        <w:t>.</w:t>
      </w:r>
      <w:r w:rsidR="00315318" w:rsidRPr="007E26B9">
        <w:rPr>
          <w:rFonts w:cs="Calibri"/>
          <w:szCs w:val="20"/>
        </w:rPr>
        <w:t xml:space="preserve">  </w:t>
      </w:r>
      <w:r w:rsidR="00315318" w:rsidRPr="007E26B9">
        <w:rPr>
          <w:rFonts w:cs="Calibri"/>
          <w:b/>
          <w:szCs w:val="20"/>
        </w:rPr>
        <w:t>NO ATENDIDA</w:t>
      </w:r>
    </w:p>
    <w:p w:rsidR="00A204BE" w:rsidRPr="007E26B9" w:rsidRDefault="00151F92" w:rsidP="002627DF">
      <w:pPr>
        <w:pStyle w:val="Prrafodelista"/>
        <w:numPr>
          <w:ilvl w:val="0"/>
          <w:numId w:val="3"/>
        </w:numPr>
        <w:jc w:val="both"/>
        <w:rPr>
          <w:rFonts w:cs="Calibri"/>
          <w:szCs w:val="20"/>
        </w:rPr>
      </w:pPr>
      <w:r w:rsidRPr="007E26B9">
        <w:rPr>
          <w:rFonts w:cs="Calibri"/>
          <w:szCs w:val="20"/>
        </w:rPr>
        <w:t xml:space="preserve">Se  recomienda  publicar  </w:t>
      </w:r>
      <w:r w:rsidR="00101378" w:rsidRPr="007E26B9">
        <w:rPr>
          <w:rFonts w:cs="Calibri"/>
          <w:szCs w:val="20"/>
        </w:rPr>
        <w:t>el</w:t>
      </w:r>
      <w:r w:rsidRPr="007E26B9">
        <w:rPr>
          <w:rFonts w:cs="Calibri"/>
          <w:szCs w:val="20"/>
        </w:rPr>
        <w:t xml:space="preserve">  Informe  </w:t>
      </w:r>
      <w:r w:rsidR="00E45378" w:rsidRPr="007E26B9">
        <w:rPr>
          <w:rFonts w:cs="Calibri"/>
          <w:szCs w:val="20"/>
        </w:rPr>
        <w:t xml:space="preserve">completo </w:t>
      </w:r>
      <w:r w:rsidRPr="007E26B9">
        <w:rPr>
          <w:rFonts w:cs="Calibri"/>
          <w:szCs w:val="20"/>
        </w:rPr>
        <w:t>de  Ejecución  de  Presupuesto correspondiente al primer trimestre de 201</w:t>
      </w:r>
      <w:r w:rsidR="00696D36" w:rsidRPr="007E26B9">
        <w:rPr>
          <w:rFonts w:cs="Calibri"/>
          <w:szCs w:val="20"/>
        </w:rPr>
        <w:t>5</w:t>
      </w:r>
      <w:r w:rsidRPr="007E26B9">
        <w:rPr>
          <w:rFonts w:cs="Calibri"/>
          <w:szCs w:val="20"/>
        </w:rPr>
        <w:t>, el cual equivale  a los informes de avance de gestión financiera  que  señalan  los artículos 9  y  16  de  la Ley  de  Fiscalización  Superior  de  los Recursos Públicos para el Estado de Baja California y sus Municipios</w:t>
      </w:r>
      <w:r w:rsidR="001976EC" w:rsidRPr="007E26B9">
        <w:rPr>
          <w:rFonts w:cs="Calibri"/>
          <w:szCs w:val="20"/>
        </w:rPr>
        <w:t>.</w:t>
      </w:r>
      <w:r w:rsidR="00315318" w:rsidRPr="007E26B9">
        <w:rPr>
          <w:rFonts w:cs="Calibri"/>
          <w:szCs w:val="20"/>
        </w:rPr>
        <w:t xml:space="preserve">  </w:t>
      </w:r>
      <w:r w:rsidR="00CD34D2" w:rsidRPr="007E26B9">
        <w:rPr>
          <w:rFonts w:cs="Calibri"/>
          <w:b/>
          <w:szCs w:val="20"/>
        </w:rPr>
        <w:t xml:space="preserve">NO </w:t>
      </w:r>
      <w:r w:rsidR="00315318" w:rsidRPr="007E26B9">
        <w:rPr>
          <w:rFonts w:cs="Calibri"/>
          <w:b/>
          <w:szCs w:val="20"/>
        </w:rPr>
        <w:t>ATENDIDA</w:t>
      </w:r>
    </w:p>
    <w:p w:rsidR="00F15373" w:rsidRPr="007E26B9" w:rsidRDefault="00F15373" w:rsidP="002627DF">
      <w:pPr>
        <w:jc w:val="both"/>
        <w:rPr>
          <w:rFonts w:cs="Calibri"/>
          <w:b/>
          <w:szCs w:val="20"/>
        </w:rPr>
      </w:pPr>
      <w:r w:rsidRPr="007E26B9">
        <w:rPr>
          <w:rFonts w:cs="Calibri"/>
          <w:b/>
          <w:szCs w:val="20"/>
        </w:rPr>
        <w:t>IX.- Las enajenaciones de bienes que realicen por cualquier título o acto, indicando los motivos, beneficiarios o adquirientes, y los montos de las operaciones;</w:t>
      </w:r>
    </w:p>
    <w:p w:rsidR="00346EB1" w:rsidRPr="007E26B9" w:rsidRDefault="00403388" w:rsidP="00490D1E">
      <w:pPr>
        <w:pStyle w:val="Sinespaciado"/>
      </w:pPr>
      <w:r w:rsidRPr="007E26B9">
        <w:t>No se emiten recomendaciones respecto a esta fracción.</w:t>
      </w:r>
    </w:p>
    <w:p w:rsidR="00490D1E" w:rsidRPr="007E26B9" w:rsidRDefault="00490D1E" w:rsidP="00490D1E">
      <w:pPr>
        <w:pStyle w:val="Sinespaciado"/>
      </w:pPr>
    </w:p>
    <w:p w:rsidR="00F15373" w:rsidRPr="007E26B9" w:rsidRDefault="00F15373" w:rsidP="00E63CAB">
      <w:pPr>
        <w:jc w:val="both"/>
        <w:rPr>
          <w:rFonts w:cs="Calibri"/>
          <w:b/>
          <w:szCs w:val="20"/>
        </w:rPr>
      </w:pPr>
      <w:r w:rsidRPr="007E26B9">
        <w:rPr>
          <w:rFonts w:cs="Calibri"/>
          <w:b/>
          <w:szCs w:val="20"/>
        </w:rPr>
        <w:t>X.- Los permisos, concesiones y autorizaciones otorgadas, especificando sus titulares, concepto y vigencia;</w:t>
      </w:r>
    </w:p>
    <w:p w:rsidR="00346EB1" w:rsidRPr="007E26B9" w:rsidRDefault="00BB25F3" w:rsidP="00490D1E">
      <w:pPr>
        <w:pStyle w:val="Sinespaciado"/>
      </w:pPr>
      <w:r w:rsidRPr="007E26B9">
        <w:t>No se emiten recomendaciones respecto a esta fracción.</w:t>
      </w:r>
    </w:p>
    <w:p w:rsidR="00490D1E" w:rsidRPr="007E26B9" w:rsidRDefault="00490D1E" w:rsidP="00490D1E">
      <w:pPr>
        <w:pStyle w:val="Sinespaciado"/>
      </w:pPr>
    </w:p>
    <w:p w:rsidR="00F15373" w:rsidRPr="007E26B9" w:rsidRDefault="00F15373" w:rsidP="00E63CAB">
      <w:pPr>
        <w:jc w:val="both"/>
        <w:rPr>
          <w:rFonts w:cs="Calibri"/>
          <w:b/>
          <w:szCs w:val="20"/>
        </w:rPr>
      </w:pPr>
      <w:r w:rsidRPr="007E26B9">
        <w:rPr>
          <w:rFonts w:cs="Calibri"/>
          <w:b/>
          <w:szCs w:val="20"/>
        </w:rPr>
        <w:t>XI.- Los convenios celebrados con instituciones públicas o privadas;</w:t>
      </w:r>
    </w:p>
    <w:p w:rsidR="00132501" w:rsidRPr="007E26B9" w:rsidRDefault="00132501" w:rsidP="00132501">
      <w:pPr>
        <w:pStyle w:val="Sinespaciado"/>
      </w:pPr>
      <w:r w:rsidRPr="007E26B9">
        <w:t>Se recomienda publicar en la lista de convenios</w:t>
      </w:r>
      <w:r w:rsidR="006878F1" w:rsidRPr="007E26B9">
        <w:t xml:space="preserve"> lo siguiente</w:t>
      </w:r>
      <w:r w:rsidRPr="007E26B9">
        <w:t>:</w:t>
      </w:r>
    </w:p>
    <w:p w:rsidR="006878F1" w:rsidRPr="007E26B9" w:rsidRDefault="006878F1" w:rsidP="00132501">
      <w:pPr>
        <w:pStyle w:val="Sinespaciado"/>
      </w:pPr>
    </w:p>
    <w:p w:rsidR="009D40C7" w:rsidRPr="007E26B9" w:rsidRDefault="00132501" w:rsidP="00490D1E">
      <w:pPr>
        <w:pStyle w:val="Sinespaciado"/>
        <w:numPr>
          <w:ilvl w:val="0"/>
          <w:numId w:val="4"/>
        </w:numPr>
      </w:pPr>
      <w:r w:rsidRPr="007E26B9">
        <w:t>Fecha</w:t>
      </w:r>
      <w:r w:rsidR="00D53DDD" w:rsidRPr="007E26B9">
        <w:t xml:space="preserve"> de celebración del convenio.</w:t>
      </w:r>
      <w:r w:rsidR="003536B1" w:rsidRPr="007E26B9">
        <w:t xml:space="preserve"> </w:t>
      </w:r>
      <w:r w:rsidR="003536B1" w:rsidRPr="007E26B9">
        <w:rPr>
          <w:b/>
        </w:rPr>
        <w:t>NO</w:t>
      </w:r>
      <w:r w:rsidR="00780A29" w:rsidRPr="007E26B9">
        <w:rPr>
          <w:b/>
        </w:rPr>
        <w:t xml:space="preserve"> </w:t>
      </w:r>
      <w:r w:rsidR="003536B1" w:rsidRPr="007E26B9">
        <w:rPr>
          <w:b/>
        </w:rPr>
        <w:t>ATENDIDA</w:t>
      </w:r>
    </w:p>
    <w:p w:rsidR="00490D1E" w:rsidRPr="007E26B9" w:rsidRDefault="00490D1E" w:rsidP="00490D1E">
      <w:pPr>
        <w:pStyle w:val="Sinespaciado"/>
        <w:ind w:left="1070"/>
      </w:pPr>
    </w:p>
    <w:p w:rsidR="00F15373" w:rsidRPr="007E26B9" w:rsidRDefault="00F15373" w:rsidP="00E63CAB">
      <w:pPr>
        <w:jc w:val="both"/>
        <w:rPr>
          <w:rFonts w:cs="Calibri"/>
          <w:b/>
          <w:szCs w:val="20"/>
        </w:rPr>
      </w:pPr>
      <w:r w:rsidRPr="007E26B9">
        <w:rPr>
          <w:rFonts w:cs="Calibri"/>
          <w:b/>
          <w:szCs w:val="20"/>
        </w:rPr>
        <w:t>XII.- El padrón de proveedores;</w:t>
      </w:r>
    </w:p>
    <w:p w:rsidR="00490D1E" w:rsidRPr="007E26B9" w:rsidRDefault="00D26A8F" w:rsidP="00490D1E">
      <w:pPr>
        <w:pStyle w:val="Sinespaciado"/>
        <w:numPr>
          <w:ilvl w:val="0"/>
          <w:numId w:val="15"/>
        </w:numPr>
      </w:pPr>
      <w:r w:rsidRPr="007E26B9">
        <w:t xml:space="preserve">Se </w:t>
      </w:r>
      <w:r w:rsidR="00F01F5F" w:rsidRPr="007E26B9">
        <w:t>recomienda</w:t>
      </w:r>
      <w:r w:rsidRPr="007E26B9">
        <w:t xml:space="preserve"> incorporar a la totalidad del padrón de proveedores el giro del negocio o actividad empresarial toda vez que se encontraron 220 proveedores sin este rubro de información.</w:t>
      </w:r>
      <w:r w:rsidR="003536B1" w:rsidRPr="007E26B9">
        <w:t xml:space="preserve"> </w:t>
      </w:r>
      <w:r w:rsidR="003536B1" w:rsidRPr="007E26B9">
        <w:rPr>
          <w:b/>
        </w:rPr>
        <w:t>ATENDIDA</w:t>
      </w:r>
    </w:p>
    <w:p w:rsidR="00490D1E" w:rsidRPr="007E26B9" w:rsidRDefault="00490D1E" w:rsidP="00490D1E">
      <w:pPr>
        <w:pStyle w:val="Sinespaciado"/>
        <w:ind w:left="1070"/>
      </w:pPr>
    </w:p>
    <w:p w:rsidR="00F15373" w:rsidRPr="007E26B9" w:rsidRDefault="00F15373" w:rsidP="00E63CAB">
      <w:pPr>
        <w:jc w:val="both"/>
        <w:rPr>
          <w:rFonts w:cs="Calibri"/>
          <w:b/>
          <w:szCs w:val="20"/>
        </w:rPr>
      </w:pPr>
      <w:r w:rsidRPr="007E26B9">
        <w:rPr>
          <w:rFonts w:cs="Calibri"/>
          <w:b/>
          <w:szCs w:val="20"/>
        </w:rPr>
        <w:t>XIII.- El padrón inmobiliario y el vehicular;</w:t>
      </w:r>
    </w:p>
    <w:p w:rsidR="004416D4" w:rsidRPr="007E26B9" w:rsidRDefault="000B14FA" w:rsidP="004416D4">
      <w:pPr>
        <w:pStyle w:val="Sinespaciado"/>
      </w:pPr>
      <w:r w:rsidRPr="007E26B9">
        <w:t>Se</w:t>
      </w:r>
      <w:r w:rsidR="004416D4" w:rsidRPr="007E26B9">
        <w:t xml:space="preserve"> </w:t>
      </w:r>
      <w:r w:rsidR="00063B00" w:rsidRPr="007E26B9">
        <w:t>recomienda</w:t>
      </w:r>
      <w:r w:rsidR="004416D4" w:rsidRPr="007E26B9">
        <w:t xml:space="preserve"> publicar los siguientes rubros de información para el padrón inmobiliario: </w:t>
      </w:r>
    </w:p>
    <w:p w:rsidR="006878F1" w:rsidRPr="007E26B9" w:rsidRDefault="006878F1" w:rsidP="004416D4">
      <w:pPr>
        <w:pStyle w:val="Sinespaciado"/>
      </w:pPr>
    </w:p>
    <w:p w:rsidR="004416D4" w:rsidRPr="007E26B9" w:rsidRDefault="00CF7F94" w:rsidP="004A663A">
      <w:pPr>
        <w:pStyle w:val="Sinespaciado"/>
        <w:numPr>
          <w:ilvl w:val="1"/>
          <w:numId w:val="5"/>
        </w:numPr>
      </w:pPr>
      <w:r w:rsidRPr="007E26B9">
        <w:t>Código o clave catastral</w:t>
      </w:r>
      <w:r w:rsidR="000B14FA" w:rsidRPr="007E26B9">
        <w:t xml:space="preserve"> para todo el padrón</w:t>
      </w:r>
      <w:r w:rsidR="006878F1" w:rsidRPr="007E26B9">
        <w:t>.</w:t>
      </w:r>
      <w:r w:rsidR="000B14FA" w:rsidRPr="007E26B9">
        <w:t xml:space="preserve"> </w:t>
      </w:r>
      <w:r w:rsidR="003536B1" w:rsidRPr="007E26B9">
        <w:t xml:space="preserve">  </w:t>
      </w:r>
      <w:r w:rsidR="003536B1" w:rsidRPr="007E26B9">
        <w:rPr>
          <w:b/>
        </w:rPr>
        <w:t>ATENDIDA</w:t>
      </w:r>
    </w:p>
    <w:p w:rsidR="00F01F5F" w:rsidRPr="007E26B9" w:rsidRDefault="004416D4" w:rsidP="00490D1E">
      <w:pPr>
        <w:pStyle w:val="Sinespaciado"/>
        <w:numPr>
          <w:ilvl w:val="1"/>
          <w:numId w:val="5"/>
        </w:numPr>
      </w:pPr>
      <w:r w:rsidRPr="007E26B9">
        <w:t>Valor catastral del inmueble</w:t>
      </w:r>
      <w:r w:rsidR="00CF7F94" w:rsidRPr="007E26B9">
        <w:t xml:space="preserve"> </w:t>
      </w:r>
      <w:r w:rsidR="000B14FA" w:rsidRPr="007E26B9">
        <w:t>para todo el padrón</w:t>
      </w:r>
      <w:r w:rsidRPr="007E26B9">
        <w:t xml:space="preserve">. </w:t>
      </w:r>
      <w:r w:rsidR="003536B1" w:rsidRPr="007E26B9">
        <w:t xml:space="preserve"> </w:t>
      </w:r>
      <w:r w:rsidR="003536B1" w:rsidRPr="007E26B9">
        <w:rPr>
          <w:b/>
        </w:rPr>
        <w:t>ATENDIDA</w:t>
      </w:r>
    </w:p>
    <w:p w:rsidR="00490D1E" w:rsidRPr="007E26B9" w:rsidRDefault="00490D1E" w:rsidP="00490D1E">
      <w:pPr>
        <w:pStyle w:val="Sinespaciado"/>
        <w:ind w:left="1070"/>
      </w:pPr>
    </w:p>
    <w:p w:rsidR="00F15373" w:rsidRPr="007E26B9" w:rsidRDefault="00F15373" w:rsidP="00E63CAB">
      <w:pPr>
        <w:jc w:val="both"/>
        <w:rPr>
          <w:rFonts w:cs="Calibri"/>
          <w:b/>
          <w:szCs w:val="20"/>
        </w:rPr>
      </w:pPr>
      <w:r w:rsidRPr="007E26B9">
        <w:rPr>
          <w:rFonts w:cs="Calibri"/>
          <w:b/>
          <w:szCs w:val="20"/>
        </w:rPr>
        <w:t>XIV.- Las resoluciones de los procedimientos de responsabilidad administrativa, una vez que hayan causado estado;</w:t>
      </w:r>
    </w:p>
    <w:p w:rsidR="000B14FA" w:rsidRPr="007E26B9" w:rsidRDefault="000B14FA" w:rsidP="008A300B">
      <w:pPr>
        <w:pStyle w:val="Sinespaciado"/>
      </w:pPr>
      <w:r w:rsidRPr="007E26B9">
        <w:t xml:space="preserve">Se recomienda publicar en la relación de procedimientos de responsabilidades administrativas: </w:t>
      </w:r>
    </w:p>
    <w:p w:rsidR="006878F1" w:rsidRPr="007E26B9" w:rsidRDefault="006878F1" w:rsidP="008A300B">
      <w:pPr>
        <w:pStyle w:val="Sinespaciado"/>
      </w:pPr>
    </w:p>
    <w:p w:rsidR="000B14FA" w:rsidRPr="007E26B9" w:rsidRDefault="000B14FA" w:rsidP="000B14FA">
      <w:pPr>
        <w:pStyle w:val="Sinespaciado"/>
        <w:numPr>
          <w:ilvl w:val="0"/>
          <w:numId w:val="11"/>
        </w:numPr>
      </w:pPr>
      <w:r w:rsidRPr="007E26B9">
        <w:t xml:space="preserve">El puesto desempeñado al inicio del procedimiento, </w:t>
      </w:r>
      <w:r w:rsidR="003536B1" w:rsidRPr="007E26B9">
        <w:t xml:space="preserve"> </w:t>
      </w:r>
      <w:r w:rsidR="003536B1" w:rsidRPr="007E26B9">
        <w:rPr>
          <w:b/>
        </w:rPr>
        <w:t>NO ATENDIDA</w:t>
      </w:r>
    </w:p>
    <w:p w:rsidR="000B14FA" w:rsidRPr="007E26B9" w:rsidRDefault="000B14FA" w:rsidP="000B14FA">
      <w:pPr>
        <w:pStyle w:val="Sinespaciado"/>
        <w:numPr>
          <w:ilvl w:val="0"/>
          <w:numId w:val="11"/>
        </w:numPr>
      </w:pPr>
      <w:r w:rsidRPr="007E26B9">
        <w:t xml:space="preserve">Motivo del inicio del procedimiento, </w:t>
      </w:r>
      <w:r w:rsidR="003536B1" w:rsidRPr="007E26B9">
        <w:t xml:space="preserve"> </w:t>
      </w:r>
      <w:r w:rsidR="003536B1" w:rsidRPr="007E26B9">
        <w:rPr>
          <w:b/>
        </w:rPr>
        <w:t xml:space="preserve">NO ATENDIDA </w:t>
      </w:r>
    </w:p>
    <w:p w:rsidR="000B14FA" w:rsidRPr="007E26B9" w:rsidRDefault="000B14FA" w:rsidP="000B14FA">
      <w:pPr>
        <w:pStyle w:val="Sinespaciado"/>
        <w:numPr>
          <w:ilvl w:val="0"/>
          <w:numId w:val="11"/>
        </w:numPr>
      </w:pPr>
      <w:r w:rsidRPr="007E26B9">
        <w:t>Resolución del procedimiento</w:t>
      </w:r>
      <w:r w:rsidR="006878F1" w:rsidRPr="007E26B9">
        <w:t>,</w:t>
      </w:r>
      <w:r w:rsidRPr="007E26B9">
        <w:t xml:space="preserve"> y </w:t>
      </w:r>
      <w:r w:rsidR="003536B1" w:rsidRPr="007E26B9">
        <w:t xml:space="preserve"> </w:t>
      </w:r>
      <w:r w:rsidR="003536B1" w:rsidRPr="007E26B9">
        <w:rPr>
          <w:b/>
        </w:rPr>
        <w:t>NO ATENDIDA</w:t>
      </w:r>
    </w:p>
    <w:p w:rsidR="008A300B" w:rsidRPr="007E26B9" w:rsidRDefault="000B14FA" w:rsidP="000B14FA">
      <w:pPr>
        <w:pStyle w:val="Sinespaciado"/>
        <w:numPr>
          <w:ilvl w:val="0"/>
          <w:numId w:val="11"/>
        </w:numPr>
      </w:pPr>
      <w:r w:rsidRPr="007E26B9">
        <w:lastRenderedPageBreak/>
        <w:t>Otorgar acceso a la versión publica del dictamen completo.</w:t>
      </w:r>
      <w:r w:rsidR="003536B1" w:rsidRPr="007E26B9">
        <w:t xml:space="preserve">  </w:t>
      </w:r>
      <w:r w:rsidR="003536B1" w:rsidRPr="007E26B9">
        <w:rPr>
          <w:b/>
        </w:rPr>
        <w:t>NO ATENDIDA</w:t>
      </w:r>
    </w:p>
    <w:p w:rsidR="00E34E70" w:rsidRPr="007E26B9" w:rsidRDefault="00E34E70" w:rsidP="00E63CAB">
      <w:pPr>
        <w:jc w:val="both"/>
        <w:rPr>
          <w:rFonts w:cs="Calibri"/>
          <w:b/>
          <w:szCs w:val="20"/>
        </w:rPr>
      </w:pPr>
    </w:p>
    <w:p w:rsidR="00F15373" w:rsidRPr="007E26B9" w:rsidRDefault="00F15373" w:rsidP="00E63CAB">
      <w:pPr>
        <w:jc w:val="both"/>
        <w:rPr>
          <w:rFonts w:cs="Calibri"/>
          <w:b/>
          <w:szCs w:val="20"/>
        </w:rPr>
      </w:pPr>
      <w:r w:rsidRPr="007E26B9">
        <w:rPr>
          <w:rFonts w:cs="Calibri"/>
          <w:b/>
          <w:szCs w:val="20"/>
        </w:rPr>
        <w:t>XV.- Los montos asignados y criterios de acceso a los programas sociales;</w:t>
      </w:r>
    </w:p>
    <w:p w:rsidR="00357CE6" w:rsidRPr="007E26B9" w:rsidRDefault="00357CE6" w:rsidP="00357CE6">
      <w:pPr>
        <w:jc w:val="both"/>
        <w:rPr>
          <w:rFonts w:cs="Calibri"/>
          <w:szCs w:val="20"/>
        </w:rPr>
      </w:pPr>
      <w:r w:rsidRPr="007E26B9">
        <w:rPr>
          <w:rFonts w:cs="Calibri"/>
          <w:szCs w:val="20"/>
        </w:rPr>
        <w:t xml:space="preserve">Se  recomienda publicar  el  listado  de  los  programas  sociales  que  opera  el  Sujeto  Obligado registrados  en  su  presupuesto  de  egresos  para  llevar  a  cabo  el  conjunto  de  acciones tendientes  a  modificar  y  mejorar  las  circunstancias  de  carácter  social  que  impidan  el desarrollo integral de la familia, así como  la protección física, mental y social de personas en estado  de  vulnerabilidad,  hasta  lograr  su  incorporación  a  una  vida  plena  y  productiva, identificando por cada uno de ellos la siguiente información: </w:t>
      </w:r>
    </w:p>
    <w:p w:rsidR="00357CE6" w:rsidRPr="007E26B9" w:rsidRDefault="00357CE6" w:rsidP="00357CE6">
      <w:pPr>
        <w:pStyle w:val="Prrafodelista"/>
        <w:numPr>
          <w:ilvl w:val="0"/>
          <w:numId w:val="12"/>
        </w:numPr>
        <w:jc w:val="both"/>
        <w:rPr>
          <w:rFonts w:cs="Calibri"/>
          <w:szCs w:val="20"/>
        </w:rPr>
      </w:pPr>
      <w:r w:rsidRPr="007E26B9">
        <w:rPr>
          <w:rFonts w:cs="Calibri"/>
          <w:szCs w:val="20"/>
        </w:rPr>
        <w:t xml:space="preserve">Nombre o denominación del Programa, </w:t>
      </w:r>
      <w:r w:rsidR="003536B1" w:rsidRPr="007E26B9">
        <w:rPr>
          <w:rFonts w:cs="Calibri"/>
          <w:szCs w:val="20"/>
        </w:rPr>
        <w:t xml:space="preserve"> </w:t>
      </w:r>
      <w:r w:rsidR="003536B1" w:rsidRPr="007E26B9">
        <w:rPr>
          <w:rFonts w:cs="Calibri"/>
          <w:b/>
          <w:szCs w:val="20"/>
        </w:rPr>
        <w:t>ATENDIDA</w:t>
      </w:r>
    </w:p>
    <w:p w:rsidR="00357CE6" w:rsidRPr="007E26B9" w:rsidRDefault="00357CE6" w:rsidP="00357CE6">
      <w:pPr>
        <w:pStyle w:val="Prrafodelista"/>
        <w:numPr>
          <w:ilvl w:val="0"/>
          <w:numId w:val="12"/>
        </w:numPr>
        <w:jc w:val="both"/>
        <w:rPr>
          <w:rFonts w:cs="Calibri"/>
          <w:szCs w:val="20"/>
        </w:rPr>
      </w:pPr>
      <w:r w:rsidRPr="007E26B9">
        <w:rPr>
          <w:rFonts w:cs="Calibri"/>
          <w:szCs w:val="20"/>
        </w:rPr>
        <w:t>Los montos asignados descritos en el Presupuestos de Egresos,</w:t>
      </w:r>
      <w:r w:rsidRPr="007E26B9">
        <w:rPr>
          <w:b/>
          <w:sz w:val="23"/>
          <w:szCs w:val="23"/>
        </w:rPr>
        <w:t xml:space="preserve"> </w:t>
      </w:r>
      <w:r w:rsidR="003536B1" w:rsidRPr="007E26B9">
        <w:rPr>
          <w:b/>
          <w:sz w:val="23"/>
          <w:szCs w:val="23"/>
        </w:rPr>
        <w:t xml:space="preserve"> ATENDIDA</w:t>
      </w:r>
    </w:p>
    <w:p w:rsidR="00357CE6" w:rsidRPr="007E26B9" w:rsidRDefault="00357CE6" w:rsidP="00357CE6">
      <w:pPr>
        <w:pStyle w:val="Prrafodelista"/>
        <w:numPr>
          <w:ilvl w:val="0"/>
          <w:numId w:val="12"/>
        </w:numPr>
        <w:jc w:val="both"/>
        <w:rPr>
          <w:rFonts w:cs="Calibri"/>
          <w:szCs w:val="20"/>
        </w:rPr>
      </w:pPr>
      <w:r w:rsidRPr="007E26B9">
        <w:rPr>
          <w:rFonts w:cs="Calibri"/>
          <w:szCs w:val="20"/>
        </w:rPr>
        <w:t>Perfil de persona y/o población a quien va dirigido,</w:t>
      </w:r>
      <w:r w:rsidRPr="007E26B9">
        <w:rPr>
          <w:b/>
          <w:sz w:val="23"/>
          <w:szCs w:val="23"/>
        </w:rPr>
        <w:t xml:space="preserve"> </w:t>
      </w:r>
      <w:r w:rsidR="003536B1" w:rsidRPr="007E26B9">
        <w:rPr>
          <w:b/>
          <w:sz w:val="23"/>
          <w:szCs w:val="23"/>
        </w:rPr>
        <w:t xml:space="preserve"> ATENDIDA</w:t>
      </w:r>
    </w:p>
    <w:p w:rsidR="00357CE6" w:rsidRPr="007E26B9" w:rsidRDefault="00357CE6" w:rsidP="00357CE6">
      <w:pPr>
        <w:pStyle w:val="Prrafodelista"/>
        <w:numPr>
          <w:ilvl w:val="0"/>
          <w:numId w:val="12"/>
        </w:numPr>
        <w:jc w:val="both"/>
        <w:rPr>
          <w:rFonts w:cs="Calibri"/>
          <w:szCs w:val="20"/>
        </w:rPr>
      </w:pPr>
      <w:r w:rsidRPr="007E26B9">
        <w:rPr>
          <w:rFonts w:cs="Calibri"/>
          <w:szCs w:val="20"/>
        </w:rPr>
        <w:t>Trámites para acceder a ellos, (proceso a seguir para solicitar el apoyo)</w:t>
      </w:r>
      <w:r w:rsidR="00F77FA1" w:rsidRPr="007E26B9">
        <w:rPr>
          <w:rFonts w:cs="Calibri"/>
          <w:szCs w:val="20"/>
        </w:rPr>
        <w:t>.</w:t>
      </w:r>
      <w:r w:rsidRPr="007E26B9">
        <w:rPr>
          <w:b/>
          <w:sz w:val="23"/>
          <w:szCs w:val="23"/>
        </w:rPr>
        <w:t xml:space="preserve"> </w:t>
      </w:r>
      <w:r w:rsidR="003536B1" w:rsidRPr="007E26B9">
        <w:rPr>
          <w:b/>
          <w:sz w:val="23"/>
          <w:szCs w:val="23"/>
        </w:rPr>
        <w:t xml:space="preserve">  ATENDIDA</w:t>
      </w:r>
    </w:p>
    <w:p w:rsidR="00357CE6" w:rsidRPr="007E26B9" w:rsidRDefault="00357CE6" w:rsidP="00357CE6">
      <w:pPr>
        <w:pStyle w:val="Prrafodelista"/>
        <w:numPr>
          <w:ilvl w:val="0"/>
          <w:numId w:val="12"/>
        </w:numPr>
        <w:jc w:val="both"/>
        <w:rPr>
          <w:rFonts w:cs="Calibri"/>
          <w:szCs w:val="20"/>
        </w:rPr>
      </w:pPr>
      <w:r w:rsidRPr="007E26B9">
        <w:rPr>
          <w:rFonts w:cs="Calibri"/>
          <w:szCs w:val="20"/>
        </w:rPr>
        <w:t>Criterios o requisitos que debe cubrir la persona o posible beneficiario para acceder a los mismos,</w:t>
      </w:r>
      <w:r w:rsidRPr="007E26B9">
        <w:rPr>
          <w:rFonts w:cs="Calibri"/>
          <w:b/>
          <w:szCs w:val="20"/>
        </w:rPr>
        <w:t xml:space="preserve"> </w:t>
      </w:r>
      <w:r w:rsidR="003536B1" w:rsidRPr="007E26B9">
        <w:rPr>
          <w:rFonts w:cs="Calibri"/>
          <w:b/>
          <w:szCs w:val="20"/>
        </w:rPr>
        <w:t>ATENDIDA</w:t>
      </w:r>
    </w:p>
    <w:p w:rsidR="00357CE6" w:rsidRPr="007E26B9" w:rsidRDefault="00357CE6" w:rsidP="00357CE6">
      <w:pPr>
        <w:pStyle w:val="Prrafodelista"/>
        <w:numPr>
          <w:ilvl w:val="0"/>
          <w:numId w:val="12"/>
        </w:numPr>
        <w:jc w:val="both"/>
        <w:rPr>
          <w:rFonts w:cs="Calibri"/>
          <w:szCs w:val="20"/>
        </w:rPr>
      </w:pPr>
      <w:r w:rsidRPr="007E26B9">
        <w:rPr>
          <w:rFonts w:cs="Calibri"/>
          <w:szCs w:val="20"/>
        </w:rPr>
        <w:t xml:space="preserve">Formatos que deberá llenar,  y </w:t>
      </w:r>
      <w:r w:rsidR="003536B1" w:rsidRPr="007E26B9">
        <w:rPr>
          <w:rFonts w:cs="Calibri"/>
          <w:szCs w:val="20"/>
        </w:rPr>
        <w:t xml:space="preserve">  </w:t>
      </w:r>
      <w:r w:rsidR="003536B1" w:rsidRPr="007E26B9">
        <w:rPr>
          <w:rFonts w:cs="Calibri"/>
          <w:b/>
          <w:szCs w:val="20"/>
        </w:rPr>
        <w:t>NO ATENDIDA</w:t>
      </w:r>
    </w:p>
    <w:p w:rsidR="00357CE6" w:rsidRPr="007E26B9" w:rsidRDefault="00357CE6" w:rsidP="00357CE6">
      <w:pPr>
        <w:pStyle w:val="Prrafodelista"/>
        <w:numPr>
          <w:ilvl w:val="0"/>
          <w:numId w:val="12"/>
        </w:numPr>
        <w:jc w:val="both"/>
        <w:rPr>
          <w:rFonts w:cs="Calibri"/>
          <w:szCs w:val="20"/>
        </w:rPr>
      </w:pPr>
      <w:r w:rsidRPr="007E26B9">
        <w:rPr>
          <w:rFonts w:cs="Calibri"/>
          <w:szCs w:val="20"/>
        </w:rPr>
        <w:t>Al menos una alternativa de contacto para obtener información (dirección, teléfono, correo electrónico).</w:t>
      </w:r>
      <w:r w:rsidRPr="007E26B9">
        <w:rPr>
          <w:b/>
          <w:sz w:val="23"/>
          <w:szCs w:val="23"/>
        </w:rPr>
        <w:t xml:space="preserve"> </w:t>
      </w:r>
      <w:r w:rsidR="003536B1" w:rsidRPr="007E26B9">
        <w:rPr>
          <w:b/>
          <w:sz w:val="23"/>
          <w:szCs w:val="23"/>
        </w:rPr>
        <w:t xml:space="preserve"> ATENDIDA</w:t>
      </w:r>
    </w:p>
    <w:p w:rsidR="009C251C" w:rsidRPr="007E26B9" w:rsidRDefault="009C251C" w:rsidP="009C251C">
      <w:pPr>
        <w:pStyle w:val="Prrafodelista"/>
        <w:numPr>
          <w:ilvl w:val="0"/>
          <w:numId w:val="12"/>
        </w:numPr>
        <w:jc w:val="both"/>
        <w:rPr>
          <w:rFonts w:cs="Calibri"/>
          <w:i/>
          <w:szCs w:val="20"/>
        </w:rPr>
      </w:pPr>
      <w:r w:rsidRPr="007E26B9">
        <w:rPr>
          <w:sz w:val="23"/>
          <w:szCs w:val="23"/>
        </w:rPr>
        <w:t>Adicionalmente</w:t>
      </w:r>
      <w:r w:rsidR="006878F1" w:rsidRPr="007E26B9">
        <w:rPr>
          <w:sz w:val="23"/>
          <w:szCs w:val="23"/>
        </w:rPr>
        <w:t xml:space="preserve">, se recomienda </w:t>
      </w:r>
      <w:r w:rsidRPr="007E26B9">
        <w:rPr>
          <w:sz w:val="23"/>
          <w:szCs w:val="23"/>
        </w:rPr>
        <w:t xml:space="preserve">eliminar a la brevedad posible las fotografías de la </w:t>
      </w:r>
      <w:r w:rsidR="00F77FA1" w:rsidRPr="007E26B9">
        <w:rPr>
          <w:sz w:val="23"/>
          <w:szCs w:val="23"/>
        </w:rPr>
        <w:t>página</w:t>
      </w:r>
      <w:r w:rsidRPr="007E26B9">
        <w:rPr>
          <w:sz w:val="23"/>
          <w:szCs w:val="23"/>
        </w:rPr>
        <w:t xml:space="preserve"> 11</w:t>
      </w:r>
      <w:r w:rsidR="00F77FA1" w:rsidRPr="007E26B9">
        <w:rPr>
          <w:sz w:val="23"/>
          <w:szCs w:val="23"/>
        </w:rPr>
        <w:t xml:space="preserve"> </w:t>
      </w:r>
      <w:r w:rsidRPr="007E26B9">
        <w:rPr>
          <w:sz w:val="23"/>
          <w:szCs w:val="23"/>
        </w:rPr>
        <w:t>del documento publicado en esta fracción, las cuales son utilizadas para ilustrar la efectividad del “</w:t>
      </w:r>
      <w:r w:rsidRPr="007E26B9">
        <w:rPr>
          <w:i/>
          <w:sz w:val="23"/>
          <w:szCs w:val="23"/>
        </w:rPr>
        <w:t>programa estatal de protección al adicto en situación de calle</w:t>
      </w:r>
      <w:r w:rsidRPr="007E26B9">
        <w:rPr>
          <w:sz w:val="23"/>
          <w:szCs w:val="23"/>
        </w:rPr>
        <w:t>”. Lo anterior con base en Artículo  31 de la LTAIPBC el cual establece lo siguiente:  “</w:t>
      </w:r>
      <w:r w:rsidRPr="007E26B9">
        <w:rPr>
          <w:i/>
          <w:sz w:val="23"/>
          <w:szCs w:val="23"/>
        </w:rPr>
        <w:t xml:space="preserve">Los  sujetos  obligados  no  podrán  difundir  los  datos  personales contenidos en los sistemas de datos, desarrollados en el ejercicio de sus funciones, salvo que haya mediado el consentimiento expreso, por escrito o por un medio de autenticación similar, de los individuos a que haga referencia la información.” </w:t>
      </w:r>
    </w:p>
    <w:p w:rsidR="009C251C" w:rsidRPr="007E26B9" w:rsidRDefault="009C251C" w:rsidP="00490D1E">
      <w:pPr>
        <w:pStyle w:val="Prrafodelista"/>
        <w:ind w:left="1070"/>
        <w:jc w:val="both"/>
        <w:rPr>
          <w:rFonts w:cs="Calibri"/>
          <w:i/>
          <w:szCs w:val="20"/>
        </w:rPr>
      </w:pPr>
      <w:r w:rsidRPr="007E26B9">
        <w:rPr>
          <w:sz w:val="23"/>
          <w:szCs w:val="23"/>
        </w:rPr>
        <w:t xml:space="preserve">Cabe señalar que la misma Ley en su artículo 5to. fracción II define como dato personal </w:t>
      </w:r>
      <w:r w:rsidRPr="007E26B9">
        <w:rPr>
          <w:i/>
          <w:sz w:val="23"/>
          <w:szCs w:val="23"/>
        </w:rPr>
        <w:t>“ La  información  numérica,  alfabética,  gráfica</w:t>
      </w:r>
      <w:r w:rsidRPr="007E26B9">
        <w:rPr>
          <w:b/>
          <w:i/>
          <w:sz w:val="23"/>
          <w:szCs w:val="23"/>
          <w:u w:val="single"/>
        </w:rPr>
        <w:t>, fotográfica</w:t>
      </w:r>
      <w:r w:rsidRPr="007E26B9">
        <w:rPr>
          <w:i/>
          <w:sz w:val="23"/>
          <w:szCs w:val="23"/>
        </w:rPr>
        <w:t>, acústica o de cualquier otro tipo,  concerniente a una persona física o jurídica identificada o identificable, entre otra, la relativa a su origen racial o étnico, domicilio, número telefónico, patrimonio, ideología, creencias o convicción religiosa, filosófica, política o de otro género y los referidos a características físicas, morales o emocionales,  preferencias sexuales, vida afectiva o familiar, o cualquier otro referente al estado de salud físico o mental.</w:t>
      </w:r>
      <w:r w:rsidR="003536B1" w:rsidRPr="007E26B9">
        <w:rPr>
          <w:i/>
          <w:sz w:val="23"/>
          <w:szCs w:val="23"/>
        </w:rPr>
        <w:t xml:space="preserve"> </w:t>
      </w:r>
      <w:r w:rsidR="003536B1" w:rsidRPr="007E26B9">
        <w:rPr>
          <w:b/>
          <w:sz w:val="23"/>
          <w:szCs w:val="23"/>
        </w:rPr>
        <w:t>ATENDIDA</w:t>
      </w:r>
    </w:p>
    <w:p w:rsidR="003536B1" w:rsidRPr="007E26B9" w:rsidRDefault="003536B1" w:rsidP="00E63CAB">
      <w:pPr>
        <w:jc w:val="both"/>
        <w:rPr>
          <w:rFonts w:cs="Calibri"/>
          <w:b/>
          <w:szCs w:val="20"/>
        </w:rPr>
      </w:pPr>
    </w:p>
    <w:p w:rsidR="00F15373" w:rsidRPr="007E26B9" w:rsidRDefault="00F15373" w:rsidP="00E63CAB">
      <w:pPr>
        <w:jc w:val="both"/>
        <w:rPr>
          <w:rFonts w:cs="Calibri"/>
          <w:b/>
          <w:szCs w:val="20"/>
        </w:rPr>
      </w:pPr>
      <w:r w:rsidRPr="007E26B9">
        <w:rPr>
          <w:rFonts w:cs="Calibri"/>
          <w:b/>
          <w:szCs w:val="20"/>
        </w:rPr>
        <w:lastRenderedPageBreak/>
        <w:t>XVI.- Las leyes, reglamentos, decretos, circulares y demás normas que les resulten aplicables;</w:t>
      </w:r>
    </w:p>
    <w:p w:rsidR="00760A9F" w:rsidRPr="007E26B9" w:rsidRDefault="005326F5" w:rsidP="00315318">
      <w:pPr>
        <w:pStyle w:val="Sinespaciado"/>
        <w:rPr>
          <w:rFonts w:cs="Calibri"/>
          <w:b/>
          <w:szCs w:val="20"/>
        </w:rPr>
      </w:pPr>
      <w:r w:rsidRPr="007E26B9">
        <w:rPr>
          <w:b/>
        </w:rPr>
        <w:t>Nota</w:t>
      </w:r>
      <w:r w:rsidR="00304B8A" w:rsidRPr="007E26B9">
        <w:t xml:space="preserve">: ver recomendación general </w:t>
      </w:r>
      <w:r w:rsidR="008A300B" w:rsidRPr="007E26B9">
        <w:t>3</w:t>
      </w:r>
      <w:r w:rsidR="00304B8A" w:rsidRPr="007E26B9">
        <w:t>.</w:t>
      </w:r>
      <w:r w:rsidR="00315318" w:rsidRPr="007E26B9">
        <w:t xml:space="preserve">  </w:t>
      </w:r>
      <w:r w:rsidR="00315318" w:rsidRPr="007E26B9">
        <w:rPr>
          <w:b/>
        </w:rPr>
        <w:t>NO ATENDIDA</w:t>
      </w:r>
    </w:p>
    <w:p w:rsidR="003536B1" w:rsidRPr="007E26B9" w:rsidRDefault="003536B1" w:rsidP="00E63CAB">
      <w:pPr>
        <w:jc w:val="both"/>
        <w:rPr>
          <w:rFonts w:cs="Calibri"/>
          <w:b/>
          <w:szCs w:val="20"/>
        </w:rPr>
      </w:pPr>
    </w:p>
    <w:p w:rsidR="00F15373" w:rsidRPr="007E26B9" w:rsidRDefault="00F15373" w:rsidP="00E63CAB">
      <w:pPr>
        <w:jc w:val="both"/>
        <w:rPr>
          <w:rFonts w:cs="Calibri"/>
          <w:b/>
          <w:szCs w:val="20"/>
        </w:rPr>
      </w:pPr>
      <w:r w:rsidRPr="007E26B9">
        <w:rPr>
          <w:rFonts w:cs="Calibri"/>
          <w:b/>
          <w:szCs w:val="20"/>
        </w:rPr>
        <w:t>XVII.- Las convocatorias a concurso o licitación pública para las obras públicas, concesiones, adquisiciones, enajenaciones, arrendamientos y prestación de servicios, así como los resultados de aquellos, que contendrán por lo menos:</w:t>
      </w:r>
    </w:p>
    <w:p w:rsidR="00F15373" w:rsidRPr="007E26B9" w:rsidRDefault="00F15373" w:rsidP="00E63CAB">
      <w:pPr>
        <w:jc w:val="both"/>
        <w:rPr>
          <w:rFonts w:cs="Calibri"/>
          <w:b/>
          <w:szCs w:val="20"/>
        </w:rPr>
      </w:pPr>
      <w:r w:rsidRPr="007E26B9">
        <w:rPr>
          <w:rFonts w:cs="Calibri"/>
          <w:b/>
          <w:szCs w:val="20"/>
        </w:rPr>
        <w:t>a).- La justificación técnica y financiera;</w:t>
      </w:r>
      <w:r w:rsidR="00EC517B" w:rsidRPr="007E26B9">
        <w:rPr>
          <w:rFonts w:cs="Calibri"/>
          <w:b/>
          <w:szCs w:val="20"/>
        </w:rPr>
        <w:t xml:space="preserve"> </w:t>
      </w:r>
    </w:p>
    <w:p w:rsidR="00F15373" w:rsidRPr="007E26B9" w:rsidRDefault="00F15373" w:rsidP="00E63CAB">
      <w:pPr>
        <w:jc w:val="both"/>
        <w:rPr>
          <w:rFonts w:cs="Calibri"/>
          <w:b/>
          <w:szCs w:val="20"/>
        </w:rPr>
      </w:pPr>
      <w:r w:rsidRPr="007E26B9">
        <w:rPr>
          <w:rFonts w:cs="Calibri"/>
          <w:b/>
          <w:szCs w:val="20"/>
        </w:rPr>
        <w:t>b).- Número de Identificación precisa del contrato, el monto, el nombre o razón social de la persona física o moral con quien se haya celebrado el contrato, el plazo y demás condiciones de cumplimiento; y</w:t>
      </w:r>
    </w:p>
    <w:p w:rsidR="009E4C7A" w:rsidRPr="007E26B9" w:rsidRDefault="00F15373" w:rsidP="00E63CAB">
      <w:pPr>
        <w:jc w:val="both"/>
        <w:rPr>
          <w:rFonts w:cs="Calibri"/>
          <w:b/>
          <w:szCs w:val="20"/>
        </w:rPr>
      </w:pPr>
      <w:r w:rsidRPr="007E26B9">
        <w:rPr>
          <w:rFonts w:cs="Calibri"/>
          <w:b/>
          <w:szCs w:val="20"/>
        </w:rPr>
        <w:t>c).- En su caso, las modificaciones a las condiciones originales del contrato.</w:t>
      </w:r>
    </w:p>
    <w:p w:rsidR="003C7827" w:rsidRPr="007E26B9" w:rsidRDefault="00E87524" w:rsidP="005A44EE">
      <w:pPr>
        <w:pStyle w:val="Sinespaciado"/>
        <w:numPr>
          <w:ilvl w:val="0"/>
          <w:numId w:val="16"/>
        </w:numPr>
      </w:pPr>
      <w:r w:rsidRPr="007E26B9">
        <w:t>Se recomienda publicar las convocatorias a concurso o licitación pública que dieron origen a los contratos publicados en esta fracción.</w:t>
      </w:r>
      <w:r w:rsidR="00780A29" w:rsidRPr="007E26B9">
        <w:t xml:space="preserve">  </w:t>
      </w:r>
      <w:r w:rsidR="00780A29" w:rsidRPr="007E26B9">
        <w:rPr>
          <w:b/>
        </w:rPr>
        <w:t>NO ATENDIDA</w:t>
      </w:r>
      <w:r w:rsidR="00780A29" w:rsidRPr="007E26B9">
        <w:t xml:space="preserve"> </w:t>
      </w:r>
    </w:p>
    <w:p w:rsidR="005A44EE" w:rsidRPr="007E26B9" w:rsidRDefault="005A44EE" w:rsidP="005A44EE">
      <w:pPr>
        <w:pStyle w:val="Sinespaciado"/>
        <w:ind w:left="1068"/>
      </w:pPr>
    </w:p>
    <w:p w:rsidR="00F15373" w:rsidRPr="007E26B9" w:rsidRDefault="00F15373" w:rsidP="00E63CAB">
      <w:pPr>
        <w:jc w:val="both"/>
        <w:rPr>
          <w:rFonts w:cs="Calibri"/>
          <w:b/>
          <w:szCs w:val="20"/>
        </w:rPr>
      </w:pPr>
      <w:r w:rsidRPr="007E26B9">
        <w:rPr>
          <w:rFonts w:cs="Calibri"/>
          <w:b/>
          <w:szCs w:val="20"/>
        </w:rPr>
        <w:t>XVIII.- Las adjudicaciones directas, señalando los motivos y fundamentos legales aplicados;</w:t>
      </w:r>
    </w:p>
    <w:p w:rsidR="004B1D6F" w:rsidRPr="007E26B9" w:rsidRDefault="00E5002A" w:rsidP="005A44EE">
      <w:pPr>
        <w:pStyle w:val="Sinespaciado"/>
        <w:numPr>
          <w:ilvl w:val="0"/>
          <w:numId w:val="13"/>
        </w:numPr>
      </w:pPr>
      <w:r w:rsidRPr="007E26B9">
        <w:t>Se recomienda publicar el número de contrato de  las adjudicaciones.</w:t>
      </w:r>
      <w:r w:rsidR="00780A29" w:rsidRPr="007E26B9">
        <w:t xml:space="preserve">  </w:t>
      </w:r>
      <w:r w:rsidR="00780A29" w:rsidRPr="007E26B9">
        <w:rPr>
          <w:b/>
        </w:rPr>
        <w:t>ATENDIDA</w:t>
      </w:r>
    </w:p>
    <w:p w:rsidR="005A44EE" w:rsidRPr="007E26B9" w:rsidRDefault="005A44EE" w:rsidP="005A44EE">
      <w:pPr>
        <w:pStyle w:val="Sinespaciado"/>
        <w:ind w:left="1070"/>
      </w:pPr>
    </w:p>
    <w:p w:rsidR="00F15373" w:rsidRPr="007E26B9" w:rsidRDefault="00F15373" w:rsidP="00E63CAB">
      <w:pPr>
        <w:jc w:val="both"/>
        <w:rPr>
          <w:rFonts w:cs="Calibri"/>
          <w:b/>
          <w:szCs w:val="20"/>
        </w:rPr>
      </w:pPr>
      <w:r w:rsidRPr="007E26B9">
        <w:rPr>
          <w:rFonts w:cs="Calibri"/>
          <w:b/>
          <w:szCs w:val="20"/>
        </w:rPr>
        <w:t>XIX.- Respecto de los contratos de servicios profesionales celebrados por el sujeto obligado, un listado que relacione el número de contrato, su fecha de celebración, el nombre o razón social del proveedor, el objeto del contrato y el monto del valor total de la contratación;</w:t>
      </w:r>
    </w:p>
    <w:p w:rsidR="00CE5598" w:rsidRPr="007E26B9" w:rsidRDefault="00CE5598" w:rsidP="00CE5598">
      <w:pPr>
        <w:pStyle w:val="Sinespaciado"/>
      </w:pPr>
      <w:r w:rsidRPr="007E26B9">
        <w:t xml:space="preserve">Se recomienda publicar en el listado los siguientes rubros de información: </w:t>
      </w:r>
    </w:p>
    <w:p w:rsidR="009F1A33" w:rsidRPr="007E26B9" w:rsidRDefault="009F1A33" w:rsidP="00CE5598">
      <w:pPr>
        <w:pStyle w:val="Sinespaciado"/>
      </w:pPr>
    </w:p>
    <w:p w:rsidR="00CE5598" w:rsidRPr="007E26B9" w:rsidRDefault="009F1A33" w:rsidP="004A663A">
      <w:pPr>
        <w:pStyle w:val="Sinespaciado"/>
        <w:numPr>
          <w:ilvl w:val="0"/>
          <w:numId w:val="7"/>
        </w:numPr>
      </w:pPr>
      <w:r w:rsidRPr="007E26B9">
        <w:t>Nú</w:t>
      </w:r>
      <w:r w:rsidR="00CE5598" w:rsidRPr="007E26B9">
        <w:t xml:space="preserve">mero de contrato, </w:t>
      </w:r>
      <w:r w:rsidR="00780A29" w:rsidRPr="007E26B9">
        <w:t xml:space="preserve"> </w:t>
      </w:r>
      <w:r w:rsidR="00780A29" w:rsidRPr="007E26B9">
        <w:rPr>
          <w:b/>
        </w:rPr>
        <w:t>ATENDIDA</w:t>
      </w:r>
    </w:p>
    <w:p w:rsidR="00BD2E4C" w:rsidRPr="007E26B9" w:rsidRDefault="005B1F73" w:rsidP="005A44EE">
      <w:pPr>
        <w:pStyle w:val="Sinespaciado"/>
        <w:numPr>
          <w:ilvl w:val="0"/>
          <w:numId w:val="7"/>
        </w:numPr>
      </w:pPr>
      <w:r w:rsidRPr="007E26B9">
        <w:t>Fecha de celebración.</w:t>
      </w:r>
      <w:r w:rsidR="00780A29" w:rsidRPr="007E26B9">
        <w:t xml:space="preserve">   </w:t>
      </w:r>
      <w:r w:rsidR="00780A29" w:rsidRPr="007E26B9">
        <w:rPr>
          <w:b/>
        </w:rPr>
        <w:t>NO ATENDIDA</w:t>
      </w:r>
    </w:p>
    <w:p w:rsidR="005A44EE" w:rsidRPr="007E26B9" w:rsidRDefault="005A44EE" w:rsidP="005A44EE">
      <w:pPr>
        <w:pStyle w:val="Sinespaciado"/>
        <w:ind w:left="1070"/>
      </w:pPr>
    </w:p>
    <w:p w:rsidR="00F15373" w:rsidRPr="007E26B9" w:rsidRDefault="00F15373" w:rsidP="00E63CAB">
      <w:pPr>
        <w:jc w:val="both"/>
        <w:rPr>
          <w:rFonts w:cs="Calibri"/>
          <w:b/>
          <w:szCs w:val="20"/>
        </w:rPr>
      </w:pPr>
      <w:r w:rsidRPr="007E26B9">
        <w:rPr>
          <w:rFonts w:cs="Calibri"/>
          <w:b/>
          <w:szCs w:val="20"/>
        </w:rPr>
        <w:t>XX.- El domicilio, número telefónico y la dirección electrónica de la Unidad de Transparencia, así como del Órgano Garante;</w:t>
      </w:r>
    </w:p>
    <w:p w:rsidR="00C675EA" w:rsidRPr="007E26B9" w:rsidRDefault="00304B8A" w:rsidP="005A44EE">
      <w:pPr>
        <w:pStyle w:val="Sinespaciado"/>
      </w:pPr>
      <w:r w:rsidRPr="007E26B9">
        <w:rPr>
          <w:b/>
        </w:rPr>
        <w:t>Nota</w:t>
      </w:r>
      <w:r w:rsidRPr="007E26B9">
        <w:t xml:space="preserve">: ver recomendación </w:t>
      </w:r>
      <w:r w:rsidR="003C7827" w:rsidRPr="007E26B9">
        <w:t>general 2</w:t>
      </w:r>
      <w:r w:rsidRPr="007E26B9">
        <w:t>.</w:t>
      </w:r>
      <w:r w:rsidR="00315318" w:rsidRPr="007E26B9">
        <w:t xml:space="preserve">  </w:t>
      </w:r>
      <w:r w:rsidR="00315318" w:rsidRPr="007E26B9">
        <w:rPr>
          <w:b/>
        </w:rPr>
        <w:t>NO ATENDIDA</w:t>
      </w:r>
    </w:p>
    <w:p w:rsidR="005A44EE" w:rsidRPr="007E26B9" w:rsidRDefault="005A44EE" w:rsidP="005A44EE">
      <w:pPr>
        <w:pStyle w:val="Sinespaciado"/>
      </w:pPr>
    </w:p>
    <w:p w:rsidR="00F15373" w:rsidRPr="007E26B9" w:rsidRDefault="00F15373" w:rsidP="00E63CAB">
      <w:pPr>
        <w:jc w:val="both"/>
        <w:rPr>
          <w:rFonts w:cs="Calibri"/>
          <w:b/>
          <w:szCs w:val="20"/>
        </w:rPr>
      </w:pPr>
      <w:r w:rsidRPr="007E26B9">
        <w:rPr>
          <w:rFonts w:cs="Calibri"/>
          <w:b/>
          <w:szCs w:val="20"/>
        </w:rPr>
        <w:t>XXI.- La relación de solicitudes de acceso a la información pública y las respuestas que se les den;</w:t>
      </w:r>
    </w:p>
    <w:p w:rsidR="003C7827" w:rsidRPr="007E26B9" w:rsidRDefault="003C7827" w:rsidP="003C7827">
      <w:pPr>
        <w:pStyle w:val="Sinespaciado"/>
      </w:pPr>
      <w:r w:rsidRPr="007E26B9">
        <w:t>No se emiten recomendaciones respecto a esta fracción.</w:t>
      </w:r>
    </w:p>
    <w:p w:rsidR="00603389" w:rsidRPr="007E26B9" w:rsidRDefault="00603389" w:rsidP="00B92FAA">
      <w:pPr>
        <w:pStyle w:val="Sinespaciado"/>
        <w:jc w:val="both"/>
      </w:pPr>
    </w:p>
    <w:p w:rsidR="00F15373" w:rsidRPr="007E26B9" w:rsidRDefault="00F15373" w:rsidP="00B92FAA">
      <w:pPr>
        <w:pStyle w:val="Sinespaciado"/>
        <w:jc w:val="both"/>
        <w:rPr>
          <w:rFonts w:cs="Calibri"/>
          <w:b/>
          <w:szCs w:val="20"/>
        </w:rPr>
      </w:pPr>
      <w:r w:rsidRPr="007E26B9">
        <w:rPr>
          <w:rFonts w:cs="Calibri"/>
          <w:b/>
          <w:szCs w:val="20"/>
        </w:rPr>
        <w:t>XXII La relación de los servidores públicos comisionados fuera de su área de adscripción por cualquier causa, incluso de carácter sindical;</w:t>
      </w:r>
    </w:p>
    <w:p w:rsidR="00C675EA" w:rsidRPr="007E26B9" w:rsidRDefault="00D22219" w:rsidP="005A44EE">
      <w:pPr>
        <w:pStyle w:val="Sinespaciado"/>
      </w:pPr>
      <w:r w:rsidRPr="007E26B9">
        <w:lastRenderedPageBreak/>
        <w:t>No se emiten recomendaciones respecto a esta fracción.</w:t>
      </w:r>
    </w:p>
    <w:p w:rsidR="005A44EE" w:rsidRPr="007E26B9" w:rsidRDefault="005A44EE" w:rsidP="005A44EE">
      <w:pPr>
        <w:pStyle w:val="Sinespaciado"/>
      </w:pPr>
    </w:p>
    <w:p w:rsidR="00F15373" w:rsidRPr="007E26B9" w:rsidRDefault="00F15373" w:rsidP="00E63CAB">
      <w:pPr>
        <w:jc w:val="both"/>
        <w:rPr>
          <w:rFonts w:cs="Calibri"/>
          <w:b/>
          <w:szCs w:val="20"/>
        </w:rPr>
      </w:pPr>
      <w:r w:rsidRPr="007E26B9">
        <w:rPr>
          <w:rFonts w:cs="Calibri"/>
          <w:b/>
          <w:szCs w:val="20"/>
        </w:rPr>
        <w:t>XXIII.- Los dictámenes de las auditorías que se practiquen a los sujetos obligados;</w:t>
      </w:r>
    </w:p>
    <w:p w:rsidR="00C675EA" w:rsidRPr="007E26B9" w:rsidRDefault="00531C93" w:rsidP="005A44EE">
      <w:pPr>
        <w:pStyle w:val="Sinespaciado"/>
      </w:pPr>
      <w:r w:rsidRPr="007E26B9">
        <w:rPr>
          <w:b/>
        </w:rPr>
        <w:t>Nota</w:t>
      </w:r>
      <w:r w:rsidRPr="007E26B9">
        <w:t xml:space="preserve">: ver recomendación </w:t>
      </w:r>
      <w:r w:rsidR="00292E42" w:rsidRPr="007E26B9">
        <w:t xml:space="preserve">general </w:t>
      </w:r>
      <w:r w:rsidR="007A4CE6" w:rsidRPr="007E26B9">
        <w:t>2</w:t>
      </w:r>
      <w:r w:rsidR="005226CC" w:rsidRPr="007E26B9">
        <w:t xml:space="preserve"> y </w:t>
      </w:r>
      <w:r w:rsidR="007A4CE6" w:rsidRPr="007E26B9">
        <w:t>4</w:t>
      </w:r>
      <w:r w:rsidRPr="007E26B9">
        <w:t>.</w:t>
      </w:r>
      <w:r w:rsidR="00315318" w:rsidRPr="007E26B9">
        <w:t xml:space="preserve">  </w:t>
      </w:r>
      <w:r w:rsidR="00315318" w:rsidRPr="007E26B9">
        <w:rPr>
          <w:b/>
        </w:rPr>
        <w:t>NO ATENDIDA</w:t>
      </w:r>
    </w:p>
    <w:p w:rsidR="00F15373" w:rsidRPr="007E26B9" w:rsidRDefault="00F15373" w:rsidP="00E63CAB">
      <w:pPr>
        <w:jc w:val="both"/>
        <w:rPr>
          <w:rFonts w:cs="Calibri"/>
          <w:b/>
          <w:szCs w:val="20"/>
        </w:rPr>
      </w:pPr>
      <w:r w:rsidRPr="007E26B9">
        <w:rPr>
          <w:rFonts w:cs="Calibri"/>
          <w:b/>
          <w:szCs w:val="20"/>
        </w:rPr>
        <w:t>XXIV.-Los informes que por disposición legal generen los sujetos obligados; y</w:t>
      </w:r>
    </w:p>
    <w:p w:rsidR="00304B8A" w:rsidRPr="007E26B9" w:rsidRDefault="00304B8A" w:rsidP="00304B8A">
      <w:pPr>
        <w:pStyle w:val="Sinespaciado"/>
      </w:pPr>
      <w:r w:rsidRPr="007E26B9">
        <w:rPr>
          <w:b/>
        </w:rPr>
        <w:t>Nota</w:t>
      </w:r>
      <w:r w:rsidRPr="007E26B9">
        <w:t xml:space="preserve">: ver recomendación </w:t>
      </w:r>
      <w:r w:rsidR="00292E42" w:rsidRPr="007E26B9">
        <w:t xml:space="preserve">general </w:t>
      </w:r>
      <w:r w:rsidR="007A4CE6" w:rsidRPr="007E26B9">
        <w:t>2</w:t>
      </w:r>
      <w:r w:rsidRPr="007E26B9">
        <w:t>.</w:t>
      </w:r>
      <w:r w:rsidR="00315318" w:rsidRPr="007E26B9">
        <w:t xml:space="preserve">  </w:t>
      </w:r>
      <w:r w:rsidR="00315318" w:rsidRPr="007E26B9">
        <w:rPr>
          <w:b/>
        </w:rPr>
        <w:t>NO ATENDIDA</w:t>
      </w:r>
    </w:p>
    <w:p w:rsidR="005B668B" w:rsidRPr="007E26B9" w:rsidRDefault="005B668B" w:rsidP="00283BD8">
      <w:pPr>
        <w:pStyle w:val="Sinespaciado"/>
        <w:rPr>
          <w:sz w:val="23"/>
          <w:szCs w:val="23"/>
        </w:rPr>
      </w:pPr>
    </w:p>
    <w:p w:rsidR="00F15373" w:rsidRPr="007E26B9" w:rsidRDefault="00F15373" w:rsidP="00E63CAB">
      <w:pPr>
        <w:jc w:val="both"/>
        <w:rPr>
          <w:rFonts w:cs="Calibri"/>
          <w:b/>
          <w:szCs w:val="20"/>
        </w:rPr>
      </w:pPr>
      <w:r w:rsidRPr="007E26B9">
        <w:rPr>
          <w:rFonts w:cs="Calibri"/>
          <w:b/>
          <w:szCs w:val="20"/>
        </w:rPr>
        <w:t>XXV.- Cualquier otra información que sea de utilidad o se considere relevante, además de aquella que, con base en la información estadística, responda a las preguntas formuladas con más frecuencia por el público.</w:t>
      </w:r>
    </w:p>
    <w:p w:rsidR="001222C0" w:rsidRPr="007E26B9" w:rsidRDefault="00CA3303" w:rsidP="005A44EE">
      <w:pPr>
        <w:pStyle w:val="Sinespaciado"/>
      </w:pPr>
      <w:r w:rsidRPr="007E26B9">
        <w:t>No se emiten recomendaciones respecto a esta fracción.</w:t>
      </w:r>
    </w:p>
    <w:p w:rsidR="001222C0" w:rsidRPr="007E26B9" w:rsidRDefault="001222C0" w:rsidP="00E63CAB">
      <w:pPr>
        <w:jc w:val="both"/>
        <w:rPr>
          <w:rFonts w:cs="Calibri"/>
          <w:szCs w:val="20"/>
        </w:rPr>
      </w:pPr>
    </w:p>
    <w:p w:rsidR="006F338F" w:rsidRPr="007E26B9" w:rsidRDefault="00650C1B" w:rsidP="00E63CAB">
      <w:pPr>
        <w:jc w:val="both"/>
        <w:rPr>
          <w:rFonts w:asciiTheme="minorHAnsi" w:hAnsiTheme="minorHAnsi" w:cstheme="minorHAnsi"/>
          <w:b/>
          <w:szCs w:val="20"/>
        </w:rPr>
      </w:pPr>
      <w:r w:rsidRPr="007E26B9">
        <w:rPr>
          <w:rFonts w:asciiTheme="minorHAnsi" w:hAnsiTheme="minorHAnsi" w:cstheme="minorHAnsi"/>
          <w:b/>
          <w:szCs w:val="20"/>
        </w:rPr>
        <w:t>A</w:t>
      </w:r>
      <w:r w:rsidR="006F338F" w:rsidRPr="007E26B9">
        <w:rPr>
          <w:rFonts w:asciiTheme="minorHAnsi" w:hAnsiTheme="minorHAnsi" w:cstheme="minorHAnsi"/>
          <w:b/>
          <w:szCs w:val="20"/>
        </w:rPr>
        <w:t>rtículo 14.- Además de lo previsto en el artículo 11 que le resulte aplicable, el Poder Ejecutivo del Estado deberá dar a conocer:</w:t>
      </w:r>
    </w:p>
    <w:p w:rsidR="004353DB" w:rsidRPr="007E26B9" w:rsidRDefault="006F338F" w:rsidP="004353DB">
      <w:pPr>
        <w:autoSpaceDE w:val="0"/>
        <w:autoSpaceDN w:val="0"/>
        <w:adjustRightInd w:val="0"/>
        <w:spacing w:after="0" w:line="240" w:lineRule="auto"/>
        <w:jc w:val="both"/>
        <w:rPr>
          <w:b/>
          <w:sz w:val="23"/>
          <w:szCs w:val="23"/>
        </w:rPr>
      </w:pPr>
      <w:r w:rsidRPr="007E26B9">
        <w:rPr>
          <w:b/>
          <w:bCs/>
          <w:sz w:val="23"/>
          <w:szCs w:val="23"/>
        </w:rPr>
        <w:t xml:space="preserve">I.- </w:t>
      </w:r>
      <w:r w:rsidRPr="007E26B9">
        <w:rPr>
          <w:b/>
          <w:sz w:val="23"/>
          <w:szCs w:val="23"/>
        </w:rPr>
        <w:t>El Plan Estatal de Desarrollo;</w:t>
      </w:r>
    </w:p>
    <w:p w:rsidR="004353DB" w:rsidRPr="007E26B9" w:rsidRDefault="004353DB" w:rsidP="004353DB">
      <w:pPr>
        <w:autoSpaceDE w:val="0"/>
        <w:autoSpaceDN w:val="0"/>
        <w:adjustRightInd w:val="0"/>
        <w:spacing w:after="0" w:line="240" w:lineRule="auto"/>
        <w:jc w:val="both"/>
        <w:rPr>
          <w:b/>
          <w:sz w:val="23"/>
          <w:szCs w:val="23"/>
        </w:rPr>
      </w:pPr>
    </w:p>
    <w:p w:rsidR="00CF2432" w:rsidRPr="007E26B9" w:rsidRDefault="00CF2432" w:rsidP="004353DB">
      <w:pPr>
        <w:autoSpaceDE w:val="0"/>
        <w:autoSpaceDN w:val="0"/>
        <w:adjustRightInd w:val="0"/>
        <w:spacing w:after="0" w:line="240" w:lineRule="auto"/>
        <w:jc w:val="both"/>
        <w:rPr>
          <w:rFonts w:asciiTheme="minorHAnsi" w:hAnsiTheme="minorHAnsi" w:cstheme="minorHAnsi"/>
          <w:szCs w:val="20"/>
        </w:rPr>
      </w:pPr>
      <w:bookmarkStart w:id="0" w:name="_GoBack"/>
      <w:bookmarkEnd w:id="0"/>
      <w:r w:rsidRPr="007E26B9">
        <w:rPr>
          <w:rFonts w:asciiTheme="minorHAnsi" w:hAnsiTheme="minorHAnsi" w:cstheme="minorHAnsi"/>
          <w:szCs w:val="20"/>
        </w:rPr>
        <w:t>No se emiten recomendaciones respecto a esta fracción.</w:t>
      </w:r>
    </w:p>
    <w:p w:rsidR="006F338F" w:rsidRPr="007E26B9" w:rsidRDefault="006F338F" w:rsidP="00E63CAB">
      <w:pPr>
        <w:autoSpaceDE w:val="0"/>
        <w:autoSpaceDN w:val="0"/>
        <w:adjustRightInd w:val="0"/>
        <w:spacing w:after="0" w:line="240" w:lineRule="auto"/>
        <w:jc w:val="both"/>
        <w:rPr>
          <w:rFonts w:asciiTheme="minorHAnsi" w:hAnsiTheme="minorHAnsi"/>
          <w:b/>
          <w:lang w:eastAsia="es-MX"/>
        </w:rPr>
      </w:pPr>
    </w:p>
    <w:p w:rsidR="006F338F" w:rsidRPr="007E26B9" w:rsidRDefault="006F338F" w:rsidP="00E63CAB">
      <w:pPr>
        <w:autoSpaceDE w:val="0"/>
        <w:autoSpaceDN w:val="0"/>
        <w:adjustRightInd w:val="0"/>
        <w:spacing w:after="0" w:line="240" w:lineRule="auto"/>
        <w:jc w:val="both"/>
        <w:rPr>
          <w:rFonts w:asciiTheme="minorHAnsi" w:hAnsiTheme="minorHAnsi"/>
          <w:b/>
          <w:lang w:eastAsia="es-MX"/>
        </w:rPr>
      </w:pPr>
      <w:r w:rsidRPr="007E26B9">
        <w:rPr>
          <w:rFonts w:asciiTheme="minorHAnsi" w:hAnsiTheme="minorHAnsi"/>
          <w:b/>
          <w:lang w:eastAsia="es-MX"/>
        </w:rPr>
        <w:t>II.- Los planes y programas que se deriven de la aplicación de la Ley de Planeación para el Estado de Baja California;</w:t>
      </w:r>
    </w:p>
    <w:p w:rsidR="006F338F" w:rsidRPr="007E26B9" w:rsidRDefault="006F338F" w:rsidP="00E63CAB">
      <w:pPr>
        <w:autoSpaceDE w:val="0"/>
        <w:autoSpaceDN w:val="0"/>
        <w:adjustRightInd w:val="0"/>
        <w:spacing w:after="0" w:line="240" w:lineRule="auto"/>
        <w:jc w:val="both"/>
        <w:rPr>
          <w:rFonts w:asciiTheme="minorHAnsi" w:hAnsiTheme="minorHAnsi"/>
          <w:b/>
          <w:lang w:eastAsia="es-MX"/>
        </w:rPr>
      </w:pPr>
    </w:p>
    <w:p w:rsidR="003E7599" w:rsidRPr="007E26B9" w:rsidRDefault="003E7599" w:rsidP="003E7599">
      <w:pPr>
        <w:pStyle w:val="Sinespaciado"/>
      </w:pPr>
      <w:r w:rsidRPr="007E26B9">
        <w:rPr>
          <w:b/>
        </w:rPr>
        <w:t>Nota</w:t>
      </w:r>
      <w:r w:rsidRPr="007E26B9">
        <w:t>: ver recomendación general</w:t>
      </w:r>
      <w:r w:rsidR="005226CC" w:rsidRPr="007E26B9">
        <w:t xml:space="preserve"> </w:t>
      </w:r>
      <w:r w:rsidR="00730666" w:rsidRPr="007E26B9">
        <w:t>5</w:t>
      </w:r>
      <w:r w:rsidRPr="007E26B9">
        <w:rPr>
          <w:b/>
        </w:rPr>
        <w:t>.</w:t>
      </w:r>
      <w:r w:rsidR="00315318" w:rsidRPr="007E26B9">
        <w:rPr>
          <w:b/>
        </w:rPr>
        <w:t xml:space="preserve">  NO ATENDIDA</w:t>
      </w:r>
    </w:p>
    <w:p w:rsidR="006F338F" w:rsidRPr="007E26B9" w:rsidRDefault="006F338F" w:rsidP="00E63CAB">
      <w:pPr>
        <w:autoSpaceDE w:val="0"/>
        <w:autoSpaceDN w:val="0"/>
        <w:adjustRightInd w:val="0"/>
        <w:spacing w:after="0" w:line="240" w:lineRule="auto"/>
        <w:jc w:val="both"/>
        <w:rPr>
          <w:rFonts w:asciiTheme="minorHAnsi" w:hAnsiTheme="minorHAnsi"/>
          <w:lang w:eastAsia="es-MX"/>
        </w:rPr>
      </w:pPr>
    </w:p>
    <w:p w:rsidR="006F338F" w:rsidRPr="007E26B9" w:rsidRDefault="006F338F" w:rsidP="00E63CAB">
      <w:pPr>
        <w:autoSpaceDE w:val="0"/>
        <w:autoSpaceDN w:val="0"/>
        <w:adjustRightInd w:val="0"/>
        <w:spacing w:after="0" w:line="240" w:lineRule="auto"/>
        <w:jc w:val="both"/>
        <w:rPr>
          <w:rFonts w:asciiTheme="minorHAnsi" w:hAnsiTheme="minorHAnsi"/>
          <w:b/>
          <w:lang w:eastAsia="es-MX"/>
        </w:rPr>
      </w:pPr>
      <w:r w:rsidRPr="007E26B9">
        <w:rPr>
          <w:rFonts w:asciiTheme="minorHAnsi" w:hAnsiTheme="minorHAnsi"/>
          <w:b/>
          <w:lang w:eastAsia="es-MX"/>
        </w:rPr>
        <w:t>III.- El listado de patentes de notarios otorgadas, en términos de la Ley respectiva;</w:t>
      </w:r>
    </w:p>
    <w:p w:rsidR="006F338F" w:rsidRPr="007E26B9" w:rsidRDefault="006F338F" w:rsidP="00E63CAB">
      <w:pPr>
        <w:autoSpaceDE w:val="0"/>
        <w:autoSpaceDN w:val="0"/>
        <w:adjustRightInd w:val="0"/>
        <w:spacing w:after="0" w:line="240" w:lineRule="auto"/>
        <w:jc w:val="both"/>
        <w:rPr>
          <w:rFonts w:asciiTheme="minorHAnsi" w:hAnsiTheme="minorHAnsi"/>
          <w:lang w:eastAsia="es-MX"/>
        </w:rPr>
      </w:pPr>
    </w:p>
    <w:p w:rsidR="006F338F" w:rsidRPr="007E26B9" w:rsidRDefault="006F338F" w:rsidP="00E63CAB">
      <w:pPr>
        <w:jc w:val="both"/>
        <w:rPr>
          <w:rFonts w:asciiTheme="minorHAnsi" w:hAnsiTheme="minorHAnsi" w:cstheme="minorHAnsi"/>
          <w:szCs w:val="20"/>
        </w:rPr>
      </w:pPr>
      <w:r w:rsidRPr="007E26B9">
        <w:rPr>
          <w:rFonts w:asciiTheme="minorHAnsi" w:hAnsiTheme="minorHAnsi" w:cstheme="minorHAnsi"/>
          <w:szCs w:val="20"/>
        </w:rPr>
        <w:t>No se emiten recomendaciones respecto a esta fracción.</w:t>
      </w:r>
    </w:p>
    <w:p w:rsidR="00D9042F" w:rsidRPr="007E26B9" w:rsidRDefault="00D9042F" w:rsidP="00E63CAB">
      <w:pPr>
        <w:autoSpaceDE w:val="0"/>
        <w:autoSpaceDN w:val="0"/>
        <w:adjustRightInd w:val="0"/>
        <w:spacing w:after="0" w:line="240" w:lineRule="auto"/>
        <w:jc w:val="both"/>
        <w:rPr>
          <w:rFonts w:asciiTheme="minorHAnsi" w:hAnsiTheme="minorHAnsi"/>
          <w:b/>
          <w:lang w:eastAsia="es-MX"/>
        </w:rPr>
      </w:pPr>
    </w:p>
    <w:p w:rsidR="006F338F" w:rsidRPr="007E26B9" w:rsidRDefault="006F338F" w:rsidP="00E63CAB">
      <w:pPr>
        <w:autoSpaceDE w:val="0"/>
        <w:autoSpaceDN w:val="0"/>
        <w:adjustRightInd w:val="0"/>
        <w:spacing w:after="0" w:line="240" w:lineRule="auto"/>
        <w:jc w:val="both"/>
        <w:rPr>
          <w:rFonts w:asciiTheme="minorHAnsi" w:hAnsiTheme="minorHAnsi"/>
          <w:b/>
          <w:lang w:eastAsia="es-MX"/>
        </w:rPr>
      </w:pPr>
      <w:r w:rsidRPr="007E26B9">
        <w:rPr>
          <w:rFonts w:asciiTheme="minorHAnsi" w:hAnsiTheme="minorHAnsi"/>
          <w:b/>
          <w:lang w:eastAsia="es-MX"/>
        </w:rPr>
        <w:t>IV.- Los ingresos por concepto de participaciones federales, así como por la recaudación fiscal que se integre a la hacienda pública;</w:t>
      </w:r>
    </w:p>
    <w:p w:rsidR="006F338F" w:rsidRPr="007E26B9" w:rsidRDefault="006F338F" w:rsidP="00E63CAB">
      <w:pPr>
        <w:autoSpaceDE w:val="0"/>
        <w:autoSpaceDN w:val="0"/>
        <w:adjustRightInd w:val="0"/>
        <w:spacing w:after="0" w:line="240" w:lineRule="auto"/>
        <w:jc w:val="both"/>
        <w:rPr>
          <w:rFonts w:asciiTheme="minorHAnsi" w:hAnsiTheme="minorHAnsi"/>
          <w:lang w:eastAsia="es-MX"/>
        </w:rPr>
      </w:pPr>
    </w:p>
    <w:p w:rsidR="007773D4" w:rsidRPr="007E26B9" w:rsidRDefault="007773D4" w:rsidP="00E63CAB">
      <w:pPr>
        <w:autoSpaceDE w:val="0"/>
        <w:autoSpaceDN w:val="0"/>
        <w:adjustRightInd w:val="0"/>
        <w:spacing w:after="0" w:line="240" w:lineRule="auto"/>
        <w:jc w:val="both"/>
        <w:rPr>
          <w:rFonts w:asciiTheme="minorHAnsi" w:hAnsiTheme="minorHAnsi" w:cstheme="minorHAnsi"/>
          <w:szCs w:val="20"/>
        </w:rPr>
      </w:pPr>
      <w:r w:rsidRPr="007E26B9">
        <w:rPr>
          <w:rFonts w:asciiTheme="minorHAnsi" w:hAnsiTheme="minorHAnsi" w:cstheme="minorHAnsi"/>
          <w:szCs w:val="20"/>
        </w:rPr>
        <w:t>No se emiten recomendaciones respecto a esta fracción.</w:t>
      </w:r>
    </w:p>
    <w:p w:rsidR="00C675EA" w:rsidRPr="007E26B9" w:rsidRDefault="00C675EA" w:rsidP="00E63CAB">
      <w:pPr>
        <w:pStyle w:val="Prrafodelista"/>
        <w:ind w:left="1070"/>
        <w:jc w:val="both"/>
        <w:rPr>
          <w:rFonts w:asciiTheme="minorHAnsi" w:hAnsiTheme="minorHAnsi" w:cstheme="minorHAnsi"/>
          <w:szCs w:val="20"/>
        </w:rPr>
      </w:pPr>
    </w:p>
    <w:p w:rsidR="006F338F" w:rsidRPr="007E26B9" w:rsidRDefault="006F338F" w:rsidP="00E63CAB">
      <w:pPr>
        <w:autoSpaceDE w:val="0"/>
        <w:autoSpaceDN w:val="0"/>
        <w:adjustRightInd w:val="0"/>
        <w:spacing w:after="0" w:line="240" w:lineRule="auto"/>
        <w:jc w:val="both"/>
        <w:rPr>
          <w:rFonts w:asciiTheme="minorHAnsi" w:hAnsiTheme="minorHAnsi"/>
          <w:b/>
          <w:lang w:eastAsia="es-MX"/>
        </w:rPr>
      </w:pPr>
      <w:r w:rsidRPr="007E26B9">
        <w:rPr>
          <w:rFonts w:asciiTheme="minorHAnsi" w:hAnsiTheme="minorHAnsi"/>
          <w:b/>
          <w:lang w:eastAsia="es-MX"/>
        </w:rPr>
        <w:t>V.- Las estadísticas e indicadores de gestión relativos a la procuración de justicia; y</w:t>
      </w:r>
    </w:p>
    <w:p w:rsidR="006F338F" w:rsidRPr="007E26B9" w:rsidRDefault="006F338F" w:rsidP="00E63CAB">
      <w:pPr>
        <w:autoSpaceDE w:val="0"/>
        <w:autoSpaceDN w:val="0"/>
        <w:adjustRightInd w:val="0"/>
        <w:spacing w:after="0" w:line="240" w:lineRule="auto"/>
        <w:jc w:val="both"/>
        <w:rPr>
          <w:rFonts w:asciiTheme="minorHAnsi" w:hAnsiTheme="minorHAnsi"/>
          <w:lang w:eastAsia="es-MX"/>
        </w:rPr>
      </w:pPr>
    </w:p>
    <w:p w:rsidR="00283FA7" w:rsidRPr="007E26B9" w:rsidRDefault="00A726E4" w:rsidP="00E63CAB">
      <w:pPr>
        <w:autoSpaceDE w:val="0"/>
        <w:autoSpaceDN w:val="0"/>
        <w:adjustRightInd w:val="0"/>
        <w:spacing w:after="0" w:line="240" w:lineRule="auto"/>
        <w:jc w:val="both"/>
        <w:rPr>
          <w:rFonts w:asciiTheme="minorHAnsi" w:hAnsiTheme="minorHAnsi" w:cstheme="minorHAnsi"/>
          <w:szCs w:val="20"/>
        </w:rPr>
      </w:pPr>
      <w:r w:rsidRPr="007E26B9">
        <w:rPr>
          <w:rFonts w:asciiTheme="minorHAnsi" w:hAnsiTheme="minorHAnsi" w:cstheme="minorHAnsi"/>
          <w:szCs w:val="20"/>
        </w:rPr>
        <w:t>No se emiten recomendaciones respecto a esta fracción</w:t>
      </w:r>
      <w:r w:rsidR="00C675EA" w:rsidRPr="007E26B9">
        <w:rPr>
          <w:rFonts w:asciiTheme="minorHAnsi" w:hAnsiTheme="minorHAnsi" w:cstheme="minorHAnsi"/>
          <w:szCs w:val="20"/>
        </w:rPr>
        <w:t>.</w:t>
      </w:r>
    </w:p>
    <w:p w:rsidR="00C675EA" w:rsidRPr="007E26B9" w:rsidRDefault="00C675EA" w:rsidP="00E63CAB">
      <w:pPr>
        <w:autoSpaceDE w:val="0"/>
        <w:autoSpaceDN w:val="0"/>
        <w:adjustRightInd w:val="0"/>
        <w:spacing w:after="0" w:line="240" w:lineRule="auto"/>
        <w:ind w:left="708"/>
        <w:jc w:val="both"/>
        <w:rPr>
          <w:rFonts w:asciiTheme="minorHAnsi" w:hAnsiTheme="minorHAnsi"/>
          <w:lang w:eastAsia="es-MX"/>
        </w:rPr>
      </w:pPr>
    </w:p>
    <w:p w:rsidR="006F338F" w:rsidRPr="007E26B9" w:rsidRDefault="006F338F" w:rsidP="00E63CAB">
      <w:pPr>
        <w:autoSpaceDE w:val="0"/>
        <w:autoSpaceDN w:val="0"/>
        <w:adjustRightInd w:val="0"/>
        <w:spacing w:after="0" w:line="240" w:lineRule="auto"/>
        <w:jc w:val="both"/>
        <w:rPr>
          <w:rFonts w:asciiTheme="minorHAnsi" w:hAnsiTheme="minorHAnsi"/>
          <w:b/>
          <w:lang w:eastAsia="es-MX"/>
        </w:rPr>
      </w:pPr>
      <w:r w:rsidRPr="007E26B9">
        <w:rPr>
          <w:rFonts w:asciiTheme="minorHAnsi" w:hAnsiTheme="minorHAnsi"/>
          <w:b/>
          <w:lang w:eastAsia="es-MX"/>
        </w:rPr>
        <w:t>VI.- Las aportaciones estatales a los municipios.</w:t>
      </w:r>
    </w:p>
    <w:p w:rsidR="006F338F" w:rsidRPr="007E26B9" w:rsidRDefault="006F338F" w:rsidP="00E63CAB">
      <w:pPr>
        <w:autoSpaceDE w:val="0"/>
        <w:autoSpaceDN w:val="0"/>
        <w:adjustRightInd w:val="0"/>
        <w:spacing w:after="0" w:line="240" w:lineRule="auto"/>
        <w:jc w:val="both"/>
        <w:rPr>
          <w:rFonts w:asciiTheme="minorHAnsi" w:hAnsiTheme="minorHAnsi"/>
          <w:lang w:eastAsia="es-MX"/>
        </w:rPr>
      </w:pPr>
    </w:p>
    <w:p w:rsidR="00650C1B" w:rsidRPr="007E26B9" w:rsidRDefault="00650C1B" w:rsidP="00650C1B">
      <w:pPr>
        <w:autoSpaceDE w:val="0"/>
        <w:autoSpaceDN w:val="0"/>
        <w:adjustRightInd w:val="0"/>
        <w:spacing w:after="0" w:line="240" w:lineRule="auto"/>
        <w:jc w:val="both"/>
        <w:rPr>
          <w:rFonts w:asciiTheme="minorHAnsi" w:hAnsiTheme="minorHAnsi" w:cstheme="minorHAnsi"/>
          <w:szCs w:val="20"/>
        </w:rPr>
      </w:pPr>
      <w:r w:rsidRPr="007E26B9">
        <w:rPr>
          <w:rFonts w:asciiTheme="minorHAnsi" w:hAnsiTheme="minorHAnsi" w:cstheme="minorHAnsi"/>
          <w:szCs w:val="20"/>
        </w:rPr>
        <w:t>No se emiten recomendaciones respecto a esta fracción.</w:t>
      </w:r>
    </w:p>
    <w:p w:rsidR="001222C0" w:rsidRPr="007E26B9" w:rsidRDefault="001222C0" w:rsidP="00650C1B">
      <w:pPr>
        <w:autoSpaceDE w:val="0"/>
        <w:autoSpaceDN w:val="0"/>
        <w:adjustRightInd w:val="0"/>
        <w:spacing w:after="0" w:line="240" w:lineRule="auto"/>
        <w:jc w:val="both"/>
        <w:rPr>
          <w:rFonts w:asciiTheme="minorHAnsi" w:hAnsiTheme="minorHAnsi" w:cstheme="minorHAnsi"/>
          <w:szCs w:val="20"/>
        </w:rPr>
      </w:pPr>
    </w:p>
    <w:p w:rsidR="006F338F" w:rsidRPr="007E26B9" w:rsidRDefault="006F338F" w:rsidP="00E63CAB">
      <w:pPr>
        <w:autoSpaceDE w:val="0"/>
        <w:autoSpaceDN w:val="0"/>
        <w:adjustRightInd w:val="0"/>
        <w:spacing w:after="0" w:line="240" w:lineRule="auto"/>
        <w:jc w:val="both"/>
        <w:rPr>
          <w:rFonts w:asciiTheme="minorHAnsi" w:hAnsiTheme="minorHAnsi"/>
          <w:lang w:eastAsia="es-MX"/>
        </w:rPr>
      </w:pPr>
    </w:p>
    <w:p w:rsidR="001F49D1" w:rsidRPr="007E26B9" w:rsidRDefault="001F49D1" w:rsidP="00E63CAB">
      <w:pPr>
        <w:autoSpaceDE w:val="0"/>
        <w:autoSpaceDN w:val="0"/>
        <w:adjustRightInd w:val="0"/>
        <w:spacing w:after="0" w:line="240" w:lineRule="auto"/>
        <w:jc w:val="both"/>
        <w:rPr>
          <w:rFonts w:asciiTheme="minorHAnsi" w:hAnsiTheme="minorHAnsi"/>
          <w:lang w:eastAsia="es-MX"/>
        </w:rPr>
      </w:pPr>
    </w:p>
    <w:p w:rsidR="00093631" w:rsidRPr="007E26B9" w:rsidRDefault="005A1A9A" w:rsidP="008A1548">
      <w:pPr>
        <w:autoSpaceDE w:val="0"/>
        <w:autoSpaceDN w:val="0"/>
        <w:adjustRightInd w:val="0"/>
        <w:spacing w:after="0" w:line="240" w:lineRule="auto"/>
        <w:jc w:val="center"/>
        <w:rPr>
          <w:rFonts w:asciiTheme="minorHAnsi" w:hAnsiTheme="minorHAnsi" w:cstheme="minorHAnsi"/>
          <w:b/>
          <w:sz w:val="24"/>
        </w:rPr>
      </w:pPr>
      <w:r w:rsidRPr="007E26B9">
        <w:rPr>
          <w:rFonts w:asciiTheme="minorHAnsi" w:hAnsiTheme="minorHAnsi" w:cstheme="minorHAnsi"/>
          <w:b/>
          <w:sz w:val="24"/>
        </w:rPr>
        <w:t>TOTAL DE RECOMENDACIONES EMITIDAS</w:t>
      </w:r>
      <w:r w:rsidR="00093631" w:rsidRPr="007E26B9">
        <w:rPr>
          <w:rFonts w:asciiTheme="minorHAnsi" w:hAnsiTheme="minorHAnsi" w:cstheme="minorHAnsi"/>
          <w:b/>
          <w:sz w:val="24"/>
        </w:rPr>
        <w:t xml:space="preserve"> A LA </w:t>
      </w:r>
      <w:r w:rsidR="00307D3E" w:rsidRPr="007E26B9">
        <w:rPr>
          <w:rFonts w:asciiTheme="minorHAnsi" w:hAnsiTheme="minorHAnsi" w:cstheme="minorHAnsi"/>
          <w:b/>
          <w:sz w:val="24"/>
        </w:rPr>
        <w:t>ENTIDAD</w:t>
      </w:r>
      <w:r w:rsidR="00093631" w:rsidRPr="007E26B9">
        <w:rPr>
          <w:rFonts w:asciiTheme="minorHAnsi" w:hAnsiTheme="minorHAnsi" w:cstheme="minorHAnsi"/>
          <w:b/>
          <w:sz w:val="24"/>
        </w:rPr>
        <w:t>:</w:t>
      </w:r>
      <w:r w:rsidR="00AB6483" w:rsidRPr="007E26B9">
        <w:rPr>
          <w:rFonts w:asciiTheme="minorHAnsi" w:hAnsiTheme="minorHAnsi" w:cstheme="minorHAnsi"/>
          <w:b/>
          <w:sz w:val="24"/>
        </w:rPr>
        <w:t xml:space="preserve"> </w:t>
      </w:r>
      <w:r w:rsidR="004A36B6" w:rsidRPr="007E26B9">
        <w:rPr>
          <w:rFonts w:asciiTheme="minorHAnsi" w:hAnsiTheme="minorHAnsi" w:cstheme="minorHAnsi"/>
          <w:b/>
          <w:sz w:val="24"/>
        </w:rPr>
        <w:t>2</w:t>
      </w:r>
      <w:r w:rsidR="001222C0" w:rsidRPr="007E26B9">
        <w:rPr>
          <w:rFonts w:asciiTheme="minorHAnsi" w:hAnsiTheme="minorHAnsi" w:cstheme="minorHAnsi"/>
          <w:b/>
          <w:sz w:val="24"/>
        </w:rPr>
        <w:t>8</w:t>
      </w:r>
    </w:p>
    <w:p w:rsidR="005A44EE" w:rsidRPr="007E26B9" w:rsidRDefault="005A44EE" w:rsidP="008A1548">
      <w:pPr>
        <w:autoSpaceDE w:val="0"/>
        <w:autoSpaceDN w:val="0"/>
        <w:adjustRightInd w:val="0"/>
        <w:spacing w:after="0" w:line="240" w:lineRule="auto"/>
        <w:jc w:val="center"/>
        <w:rPr>
          <w:rFonts w:asciiTheme="minorHAnsi" w:hAnsiTheme="minorHAnsi" w:cstheme="minorHAnsi"/>
          <w:b/>
          <w:sz w:val="24"/>
        </w:rPr>
      </w:pPr>
      <w:r w:rsidRPr="007E26B9">
        <w:rPr>
          <w:rFonts w:asciiTheme="minorHAnsi" w:hAnsiTheme="minorHAnsi" w:cstheme="minorHAnsi"/>
          <w:b/>
          <w:sz w:val="24"/>
        </w:rPr>
        <w:t>TOTAL DE RECOMENDACIONES EMITIDAS ATENDIDAS: 1</w:t>
      </w:r>
      <w:r w:rsidR="00CD34D2" w:rsidRPr="007E26B9">
        <w:rPr>
          <w:rFonts w:asciiTheme="minorHAnsi" w:hAnsiTheme="minorHAnsi" w:cstheme="minorHAnsi"/>
          <w:b/>
          <w:sz w:val="24"/>
        </w:rPr>
        <w:t>4</w:t>
      </w:r>
    </w:p>
    <w:p w:rsidR="005A44EE" w:rsidRPr="007E26B9" w:rsidRDefault="005A44EE" w:rsidP="008A1548">
      <w:pPr>
        <w:autoSpaceDE w:val="0"/>
        <w:autoSpaceDN w:val="0"/>
        <w:adjustRightInd w:val="0"/>
        <w:spacing w:after="0" w:line="240" w:lineRule="auto"/>
        <w:jc w:val="center"/>
        <w:rPr>
          <w:rFonts w:asciiTheme="minorHAnsi" w:hAnsiTheme="minorHAnsi"/>
          <w:b/>
          <w:lang w:eastAsia="es-MX"/>
        </w:rPr>
      </w:pPr>
      <w:r w:rsidRPr="007E26B9">
        <w:rPr>
          <w:rFonts w:asciiTheme="minorHAnsi" w:hAnsiTheme="minorHAnsi" w:cstheme="minorHAnsi"/>
          <w:b/>
          <w:sz w:val="24"/>
        </w:rPr>
        <w:t>TOTAL DE RECOMENDACIONES EMITIDAS NO ATENDIDAS: 1</w:t>
      </w:r>
      <w:r w:rsidR="00CD34D2" w:rsidRPr="007E26B9">
        <w:rPr>
          <w:rFonts w:asciiTheme="minorHAnsi" w:hAnsiTheme="minorHAnsi" w:cstheme="minorHAnsi"/>
          <w:b/>
          <w:sz w:val="24"/>
        </w:rPr>
        <w:t>4</w:t>
      </w:r>
    </w:p>
    <w:p w:rsidR="001222C0" w:rsidRPr="007E26B9" w:rsidRDefault="001222C0" w:rsidP="00B92FAA">
      <w:pPr>
        <w:autoSpaceDE w:val="0"/>
        <w:autoSpaceDN w:val="0"/>
        <w:adjustRightInd w:val="0"/>
        <w:spacing w:after="0" w:line="240" w:lineRule="auto"/>
        <w:jc w:val="center"/>
        <w:rPr>
          <w:rFonts w:asciiTheme="minorHAnsi" w:hAnsiTheme="minorHAnsi" w:cstheme="minorHAnsi"/>
          <w:b/>
          <w:sz w:val="24"/>
        </w:rPr>
      </w:pPr>
    </w:p>
    <w:p w:rsidR="009E0D0D" w:rsidRPr="007E26B9" w:rsidRDefault="00093631" w:rsidP="00B92FAA">
      <w:pPr>
        <w:autoSpaceDE w:val="0"/>
        <w:autoSpaceDN w:val="0"/>
        <w:adjustRightInd w:val="0"/>
        <w:spacing w:after="0" w:line="240" w:lineRule="auto"/>
        <w:jc w:val="center"/>
        <w:rPr>
          <w:rFonts w:asciiTheme="minorHAnsi" w:hAnsiTheme="minorHAnsi" w:cstheme="minorHAnsi"/>
          <w:b/>
          <w:sz w:val="24"/>
        </w:rPr>
      </w:pPr>
      <w:r w:rsidRPr="007E26B9">
        <w:rPr>
          <w:rFonts w:asciiTheme="minorHAnsi" w:hAnsiTheme="minorHAnsi" w:cstheme="minorHAnsi"/>
          <w:b/>
          <w:sz w:val="24"/>
        </w:rPr>
        <w:t xml:space="preserve">TOTAL DE RECOMENDACIONES GENERALES: </w:t>
      </w:r>
      <w:r w:rsidR="00F4323A" w:rsidRPr="007E26B9">
        <w:rPr>
          <w:rFonts w:asciiTheme="minorHAnsi" w:hAnsiTheme="minorHAnsi" w:cstheme="minorHAnsi"/>
          <w:b/>
          <w:sz w:val="24"/>
        </w:rPr>
        <w:t>5</w:t>
      </w:r>
    </w:p>
    <w:p w:rsidR="005A44EE" w:rsidRPr="007E26B9" w:rsidRDefault="005A44EE" w:rsidP="00B92FAA">
      <w:pPr>
        <w:autoSpaceDE w:val="0"/>
        <w:autoSpaceDN w:val="0"/>
        <w:adjustRightInd w:val="0"/>
        <w:spacing w:after="0" w:line="240" w:lineRule="auto"/>
        <w:jc w:val="center"/>
        <w:rPr>
          <w:rFonts w:asciiTheme="minorHAnsi" w:hAnsiTheme="minorHAnsi" w:cstheme="minorHAnsi"/>
          <w:b/>
          <w:sz w:val="24"/>
        </w:rPr>
      </w:pPr>
      <w:r w:rsidRPr="007E26B9">
        <w:rPr>
          <w:rFonts w:asciiTheme="minorHAnsi" w:hAnsiTheme="minorHAnsi" w:cstheme="minorHAnsi"/>
          <w:b/>
          <w:sz w:val="24"/>
        </w:rPr>
        <w:t>TOTAL DE RECOMENDACIONES GENERALES ATENDIDAS: 0</w:t>
      </w:r>
    </w:p>
    <w:p w:rsidR="005A44EE" w:rsidRPr="00FE46FF" w:rsidRDefault="005A44EE" w:rsidP="00B92FAA">
      <w:pPr>
        <w:autoSpaceDE w:val="0"/>
        <w:autoSpaceDN w:val="0"/>
        <w:adjustRightInd w:val="0"/>
        <w:spacing w:after="0" w:line="240" w:lineRule="auto"/>
        <w:jc w:val="center"/>
        <w:rPr>
          <w:rFonts w:cs="Calibri"/>
          <w:b/>
          <w:sz w:val="24"/>
        </w:rPr>
      </w:pPr>
      <w:r w:rsidRPr="007E26B9">
        <w:rPr>
          <w:rFonts w:asciiTheme="minorHAnsi" w:hAnsiTheme="minorHAnsi" w:cstheme="minorHAnsi"/>
          <w:b/>
          <w:sz w:val="24"/>
        </w:rPr>
        <w:t>TOTAL DE RECOMENDACIONES GENERALES NO ATENDIDAS: 5</w:t>
      </w:r>
    </w:p>
    <w:sectPr w:rsidR="005A44EE" w:rsidRPr="00FE46FF" w:rsidSect="00D83651">
      <w:headerReference w:type="default" r:id="rId8"/>
      <w:footerReference w:type="default" r:id="rId9"/>
      <w:pgSz w:w="12242" w:h="15842" w:code="1"/>
      <w:pgMar w:top="816" w:right="1469" w:bottom="1418" w:left="1560" w:header="425"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0C7" w:rsidRDefault="00F230C7" w:rsidP="000F1546">
      <w:pPr>
        <w:spacing w:after="0" w:line="240" w:lineRule="auto"/>
      </w:pPr>
      <w:r>
        <w:separator/>
      </w:r>
    </w:p>
  </w:endnote>
  <w:endnote w:type="continuationSeparator" w:id="0">
    <w:p w:rsidR="00F230C7" w:rsidRDefault="00F230C7" w:rsidP="000F15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395" w:type="pct"/>
      <w:tblBorders>
        <w:top w:val="single" w:sz="18" w:space="0" w:color="808080"/>
        <w:insideV w:val="single" w:sz="18" w:space="0" w:color="808080"/>
      </w:tblBorders>
      <w:tblLook w:val="00A0"/>
    </w:tblPr>
    <w:tblGrid>
      <w:gridCol w:w="9180"/>
      <w:gridCol w:w="994"/>
    </w:tblGrid>
    <w:tr w:rsidR="002B6E0A" w:rsidRPr="00FA4360" w:rsidTr="00FC79FF">
      <w:tc>
        <w:tcPr>
          <w:tcW w:w="9180" w:type="dxa"/>
          <w:tcBorders>
            <w:top w:val="single" w:sz="18" w:space="0" w:color="808080"/>
          </w:tcBorders>
        </w:tcPr>
        <w:p w:rsidR="002B6E0A" w:rsidRPr="001859E8" w:rsidRDefault="00F15373" w:rsidP="00E773C8">
          <w:pPr>
            <w:pStyle w:val="Sinespaciado"/>
            <w:jc w:val="right"/>
            <w:rPr>
              <w:rFonts w:ascii="Cambria" w:hAnsi="Cambria"/>
              <w:b/>
              <w:sz w:val="16"/>
            </w:rPr>
          </w:pPr>
          <w:r w:rsidRPr="001859E8">
            <w:rPr>
              <w:rFonts w:ascii="Cambria" w:hAnsi="Cambria"/>
              <w:b/>
              <w:sz w:val="16"/>
            </w:rPr>
            <w:t xml:space="preserve">Instituto de Transparencia y Acceso a </w:t>
          </w:r>
          <w:smartTag w:uri="urn:schemas-microsoft-com:office:smarttags" w:element="PersonName">
            <w:smartTagPr>
              <w:attr w:name="ProductID" w:val="LA INFORMACIￓN PￚBLICA"/>
            </w:smartTagPr>
            <w:r w:rsidRPr="001859E8">
              <w:rPr>
                <w:rFonts w:ascii="Cambria" w:hAnsi="Cambria"/>
                <w:b/>
                <w:sz w:val="16"/>
              </w:rPr>
              <w:t>la Información Pública</w:t>
            </w:r>
          </w:smartTag>
          <w:r w:rsidRPr="001859E8">
            <w:rPr>
              <w:rFonts w:ascii="Cambria" w:hAnsi="Cambria"/>
              <w:b/>
              <w:sz w:val="16"/>
            </w:rPr>
            <w:t xml:space="preserve"> del Estado de Baja California  </w:t>
          </w:r>
        </w:p>
        <w:p w:rsidR="002B6E0A" w:rsidRPr="001859E8" w:rsidRDefault="00F15373" w:rsidP="00E773C8">
          <w:pPr>
            <w:pStyle w:val="Sinespaciado"/>
            <w:jc w:val="right"/>
            <w:rPr>
              <w:rFonts w:ascii="Cambria" w:hAnsi="Cambria"/>
              <w:b/>
              <w:sz w:val="16"/>
            </w:rPr>
          </w:pPr>
          <w:r w:rsidRPr="001859E8">
            <w:rPr>
              <w:rFonts w:ascii="Cambria" w:hAnsi="Cambria"/>
              <w:b/>
              <w:sz w:val="16"/>
            </w:rPr>
            <w:t>Coordinación de Evaluación y Seguimiento</w:t>
          </w:r>
        </w:p>
        <w:p w:rsidR="002B6E0A" w:rsidRPr="001859E8" w:rsidRDefault="00F15373" w:rsidP="00E773C8">
          <w:pPr>
            <w:pStyle w:val="Sinespaciado"/>
            <w:jc w:val="right"/>
            <w:rPr>
              <w:rFonts w:ascii="Cambria" w:hAnsi="Cambria"/>
              <w:sz w:val="18"/>
            </w:rPr>
          </w:pPr>
          <w:r w:rsidRPr="001859E8">
            <w:rPr>
              <w:rFonts w:ascii="Cambria" w:hAnsi="Cambria"/>
              <w:b/>
              <w:sz w:val="16"/>
            </w:rPr>
            <w:t>Fecha de la revisión</w:t>
          </w:r>
          <w:r w:rsidRPr="001859E8">
            <w:rPr>
              <w:rFonts w:ascii="Cambria" w:hAnsi="Cambria"/>
              <w:sz w:val="16"/>
            </w:rPr>
            <w:t xml:space="preserve">: </w:t>
          </w:r>
          <w:r w:rsidR="00CC505C">
            <w:rPr>
              <w:rFonts w:ascii="Cambria" w:hAnsi="Cambria"/>
              <w:sz w:val="16"/>
            </w:rPr>
            <w:t xml:space="preserve"> </w:t>
          </w:r>
          <w:r w:rsidR="0076783E">
            <w:rPr>
              <w:rFonts w:ascii="Cambria" w:hAnsi="Cambria"/>
              <w:sz w:val="16"/>
            </w:rPr>
            <w:t>25 de Noviembre</w:t>
          </w:r>
          <w:r w:rsidR="00DC0AD1">
            <w:rPr>
              <w:rFonts w:ascii="Cambria" w:hAnsi="Cambria"/>
              <w:sz w:val="16"/>
            </w:rPr>
            <w:t xml:space="preserve"> de</w:t>
          </w:r>
          <w:r w:rsidR="002326E1">
            <w:rPr>
              <w:rFonts w:ascii="Cambria" w:hAnsi="Cambria"/>
              <w:sz w:val="16"/>
            </w:rPr>
            <w:t xml:space="preserve"> </w:t>
          </w:r>
          <w:r w:rsidR="00EA0CF3">
            <w:rPr>
              <w:rFonts w:ascii="Cambria" w:hAnsi="Cambria"/>
              <w:sz w:val="16"/>
            </w:rPr>
            <w:t>201</w:t>
          </w:r>
          <w:r w:rsidR="00F07951">
            <w:rPr>
              <w:rFonts w:ascii="Cambria" w:hAnsi="Cambria"/>
              <w:sz w:val="16"/>
            </w:rPr>
            <w:t>5</w:t>
          </w:r>
        </w:p>
        <w:p w:rsidR="002B6E0A" w:rsidRPr="001859E8" w:rsidRDefault="00F230C7" w:rsidP="00A741B6">
          <w:pPr>
            <w:pStyle w:val="Sinespaciado"/>
            <w:tabs>
              <w:tab w:val="left" w:pos="1741"/>
            </w:tabs>
            <w:jc w:val="right"/>
            <w:rPr>
              <w:rFonts w:ascii="Cambria" w:hAnsi="Cambria"/>
              <w:sz w:val="20"/>
            </w:rPr>
          </w:pPr>
        </w:p>
        <w:p w:rsidR="002B6E0A" w:rsidRPr="001859E8" w:rsidRDefault="00F15373" w:rsidP="00F0499A">
          <w:pPr>
            <w:pStyle w:val="Sinespaciado"/>
            <w:jc w:val="right"/>
            <w:rPr>
              <w:rFonts w:ascii="Cambria" w:hAnsi="Cambria"/>
              <w:sz w:val="20"/>
            </w:rPr>
          </w:pPr>
          <w:r w:rsidRPr="001859E8">
            <w:rPr>
              <w:rFonts w:ascii="Cambria" w:hAnsi="Cambria"/>
              <w:sz w:val="20"/>
            </w:rPr>
            <w:t xml:space="preserve"> </w:t>
          </w:r>
        </w:p>
      </w:tc>
      <w:tc>
        <w:tcPr>
          <w:tcW w:w="994" w:type="dxa"/>
          <w:tcBorders>
            <w:top w:val="single" w:sz="18" w:space="0" w:color="808080"/>
          </w:tcBorders>
        </w:tcPr>
        <w:p w:rsidR="002B6E0A" w:rsidRPr="001859E8" w:rsidRDefault="00F230C7" w:rsidP="001829AA">
          <w:pPr>
            <w:pStyle w:val="Piedepgina"/>
            <w:rPr>
              <w:rFonts w:ascii="Cambria" w:hAnsi="Cambria"/>
              <w:b/>
              <w:sz w:val="18"/>
              <w:szCs w:val="18"/>
            </w:rPr>
          </w:pPr>
        </w:p>
        <w:p w:rsidR="002B6E0A" w:rsidRDefault="00323419" w:rsidP="009662C2">
          <w:pPr>
            <w:pStyle w:val="Piedepgina"/>
            <w:rPr>
              <w:rFonts w:ascii="Cambria" w:hAnsi="Cambria"/>
              <w:b/>
              <w:noProof/>
              <w:sz w:val="18"/>
              <w:szCs w:val="18"/>
            </w:rPr>
          </w:pPr>
          <w:r w:rsidRPr="001859E8">
            <w:rPr>
              <w:rFonts w:ascii="Cambria" w:hAnsi="Cambria"/>
              <w:b/>
              <w:sz w:val="18"/>
              <w:szCs w:val="18"/>
            </w:rPr>
            <w:fldChar w:fldCharType="begin"/>
          </w:r>
          <w:r w:rsidR="00F15373" w:rsidRPr="001859E8">
            <w:rPr>
              <w:rFonts w:ascii="Cambria" w:hAnsi="Cambria"/>
              <w:b/>
              <w:sz w:val="18"/>
              <w:szCs w:val="18"/>
            </w:rPr>
            <w:instrText xml:space="preserve"> PAGE   \* MERGEFORMAT </w:instrText>
          </w:r>
          <w:r w:rsidRPr="001859E8">
            <w:rPr>
              <w:rFonts w:ascii="Cambria" w:hAnsi="Cambria"/>
              <w:b/>
              <w:sz w:val="18"/>
              <w:szCs w:val="18"/>
            </w:rPr>
            <w:fldChar w:fldCharType="separate"/>
          </w:r>
          <w:r w:rsidR="007E26B9">
            <w:rPr>
              <w:rFonts w:ascii="Cambria" w:hAnsi="Cambria"/>
              <w:b/>
              <w:noProof/>
              <w:sz w:val="18"/>
              <w:szCs w:val="18"/>
            </w:rPr>
            <w:t>1</w:t>
          </w:r>
          <w:r w:rsidRPr="001859E8">
            <w:rPr>
              <w:rFonts w:ascii="Cambria" w:hAnsi="Cambria"/>
              <w:b/>
              <w:sz w:val="18"/>
              <w:szCs w:val="18"/>
            </w:rPr>
            <w:fldChar w:fldCharType="end"/>
          </w:r>
          <w:r w:rsidR="00F15373" w:rsidRPr="001859E8">
            <w:rPr>
              <w:rFonts w:ascii="Cambria" w:hAnsi="Cambria"/>
              <w:b/>
              <w:noProof/>
              <w:sz w:val="18"/>
              <w:szCs w:val="18"/>
            </w:rPr>
            <w:t xml:space="preserve"> de </w:t>
          </w:r>
          <w:r w:rsidR="00F01F5F">
            <w:rPr>
              <w:rFonts w:ascii="Cambria" w:hAnsi="Cambria"/>
              <w:b/>
              <w:noProof/>
              <w:sz w:val="18"/>
              <w:szCs w:val="18"/>
            </w:rPr>
            <w:t>7</w:t>
          </w:r>
        </w:p>
        <w:p w:rsidR="00E25524" w:rsidRDefault="00E25524" w:rsidP="009662C2">
          <w:pPr>
            <w:pStyle w:val="Piedepgina"/>
            <w:rPr>
              <w:rFonts w:ascii="Cambria" w:hAnsi="Cambria"/>
              <w:b/>
              <w:noProof/>
              <w:sz w:val="18"/>
              <w:szCs w:val="18"/>
            </w:rPr>
          </w:pPr>
        </w:p>
        <w:p w:rsidR="009662C2" w:rsidRPr="001859E8" w:rsidRDefault="009662C2" w:rsidP="009662C2">
          <w:pPr>
            <w:pStyle w:val="Piedepgina"/>
            <w:rPr>
              <w:rFonts w:ascii="Cambria" w:hAnsi="Cambria"/>
              <w:b/>
              <w:sz w:val="18"/>
              <w:szCs w:val="18"/>
            </w:rPr>
          </w:pPr>
        </w:p>
      </w:tc>
    </w:tr>
  </w:tbl>
  <w:p w:rsidR="002B6E0A" w:rsidRPr="00A64416" w:rsidRDefault="00F230C7" w:rsidP="00A6441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0C7" w:rsidRDefault="00F230C7" w:rsidP="000F1546">
      <w:pPr>
        <w:spacing w:after="0" w:line="240" w:lineRule="auto"/>
      </w:pPr>
      <w:r>
        <w:separator/>
      </w:r>
    </w:p>
  </w:footnote>
  <w:footnote w:type="continuationSeparator" w:id="0">
    <w:p w:rsidR="00F230C7" w:rsidRDefault="00F230C7" w:rsidP="000F15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175" w:type="pct"/>
      <w:tblInd w:w="-1019" w:type="dxa"/>
      <w:tblBorders>
        <w:bottom w:val="single" w:sz="18" w:space="0" w:color="808080"/>
        <w:insideV w:val="single" w:sz="18" w:space="0" w:color="808080"/>
      </w:tblBorders>
      <w:tblCellMar>
        <w:top w:w="72" w:type="dxa"/>
        <w:left w:w="115" w:type="dxa"/>
        <w:bottom w:w="72" w:type="dxa"/>
        <w:right w:w="115" w:type="dxa"/>
      </w:tblCellMar>
      <w:tblLook w:val="00A0"/>
    </w:tblPr>
    <w:tblGrid>
      <w:gridCol w:w="8906"/>
      <w:gridCol w:w="2756"/>
    </w:tblGrid>
    <w:tr w:rsidR="002B6E0A" w:rsidRPr="00625444" w:rsidTr="00A64416">
      <w:trPr>
        <w:trHeight w:val="1492"/>
      </w:trPr>
      <w:tc>
        <w:tcPr>
          <w:tcW w:w="8552" w:type="dxa"/>
          <w:tcBorders>
            <w:bottom w:val="single" w:sz="18" w:space="0" w:color="808080"/>
          </w:tcBorders>
        </w:tcPr>
        <w:p w:rsidR="002B6E0A" w:rsidRDefault="00F15373" w:rsidP="00A64416">
          <w:pPr>
            <w:pStyle w:val="Encabezado"/>
            <w:rPr>
              <w:rFonts w:ascii="Cambria" w:hAnsi="Cambria"/>
              <w:noProof/>
              <w:sz w:val="36"/>
              <w:szCs w:val="36"/>
              <w:lang w:val="es-CL" w:eastAsia="es-CL"/>
            </w:rPr>
          </w:pPr>
          <w:r>
            <w:rPr>
              <w:rFonts w:ascii="Cambria" w:hAnsi="Cambria"/>
              <w:noProof/>
              <w:sz w:val="36"/>
              <w:szCs w:val="36"/>
              <w:lang w:val="es-CL" w:eastAsia="es-CL"/>
            </w:rPr>
            <w:t xml:space="preserve">                                               </w:t>
          </w:r>
        </w:p>
        <w:p w:rsidR="002B6E0A" w:rsidRDefault="00F15373" w:rsidP="00A64416">
          <w:pPr>
            <w:pStyle w:val="Encabezado"/>
            <w:rPr>
              <w:rFonts w:ascii="Cambria" w:hAnsi="Cambria"/>
              <w:sz w:val="36"/>
              <w:szCs w:val="36"/>
            </w:rPr>
          </w:pPr>
          <w:r>
            <w:rPr>
              <w:rFonts w:ascii="Cambria" w:hAnsi="Cambria"/>
              <w:noProof/>
              <w:sz w:val="36"/>
              <w:szCs w:val="36"/>
              <w:lang w:val="es-CL" w:eastAsia="es-CL"/>
            </w:rPr>
            <w:t xml:space="preserve">                                                          </w:t>
          </w:r>
          <w:r>
            <w:rPr>
              <w:rFonts w:ascii="Cambria" w:hAnsi="Cambria"/>
              <w:noProof/>
              <w:sz w:val="36"/>
              <w:szCs w:val="36"/>
              <w:lang w:eastAsia="es-MX"/>
            </w:rPr>
            <w:drawing>
              <wp:inline distT="0" distB="0" distL="0" distR="0">
                <wp:extent cx="2276475" cy="723900"/>
                <wp:effectExtent l="19050" t="0" r="9525" b="0"/>
                <wp:docPr id="1" name="Imagen 2" descr="LOGO_ITAIP_INSTITUCIONA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_ITAIP_INSTITUCIONAL2.png"/>
                        <pic:cNvPicPr>
                          <a:picLocks noChangeAspect="1" noChangeArrowheads="1"/>
                        </pic:cNvPicPr>
                      </pic:nvPicPr>
                      <pic:blipFill>
                        <a:blip r:embed="rId1"/>
                        <a:srcRect/>
                        <a:stretch>
                          <a:fillRect/>
                        </a:stretch>
                      </pic:blipFill>
                      <pic:spPr bwMode="auto">
                        <a:xfrm>
                          <a:off x="0" y="0"/>
                          <a:ext cx="2276475" cy="723900"/>
                        </a:xfrm>
                        <a:prstGeom prst="rect">
                          <a:avLst/>
                        </a:prstGeom>
                        <a:noFill/>
                        <a:ln w="9525">
                          <a:noFill/>
                          <a:miter lim="800000"/>
                          <a:headEnd/>
                          <a:tailEnd/>
                        </a:ln>
                      </pic:spPr>
                    </pic:pic>
                  </a:graphicData>
                </a:graphic>
              </wp:inline>
            </w:drawing>
          </w:r>
        </w:p>
      </w:tc>
      <w:tc>
        <w:tcPr>
          <w:tcW w:w="2647" w:type="dxa"/>
          <w:tcBorders>
            <w:bottom w:val="single" w:sz="18" w:space="0" w:color="808080"/>
          </w:tcBorders>
        </w:tcPr>
        <w:p w:rsidR="002B6E0A" w:rsidRDefault="00F15373" w:rsidP="00A64416">
          <w:pPr>
            <w:pStyle w:val="Encabezado"/>
            <w:rPr>
              <w:rFonts w:ascii="Cambria" w:hAnsi="Cambria"/>
              <w:b/>
              <w:bCs/>
              <w:color w:val="4F81BD"/>
              <w:sz w:val="36"/>
              <w:szCs w:val="36"/>
            </w:rPr>
          </w:pPr>
          <w:r>
            <w:rPr>
              <w:rFonts w:ascii="Cambria" w:hAnsi="Cambria"/>
              <w:b/>
              <w:bCs/>
              <w:color w:val="4F81BD"/>
              <w:sz w:val="36"/>
              <w:szCs w:val="36"/>
            </w:rPr>
            <w:t xml:space="preserve">     </w:t>
          </w:r>
          <w:r>
            <w:rPr>
              <w:rFonts w:ascii="Cambria" w:hAnsi="Cambria"/>
              <w:b/>
              <w:noProof/>
              <w:color w:val="4F81BD"/>
              <w:sz w:val="36"/>
              <w:szCs w:val="36"/>
              <w:lang w:eastAsia="es-MX"/>
            </w:rPr>
            <w:drawing>
              <wp:inline distT="0" distB="0" distL="0" distR="0">
                <wp:extent cx="593471" cy="854834"/>
                <wp:effectExtent l="133350" t="19050" r="54229" b="40516"/>
                <wp:docPr id="2" name="Imagen 71" descr="http://yoreme.files.wordpress.com/2010/10/1escud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n 71" descr="http://yoreme.files.wordpress.com/2010/10/1escudo.png"/>
                        <pic:cNvPicPr>
                          <a:picLocks noChangeAspect="1" noChangeArrowheads="1"/>
                        </pic:cNvPicPr>
                      </pic:nvPicPr>
                      <pic:blipFill>
                        <a:blip r:embed="rId2">
                          <a:duotone>
                            <a:schemeClr val="accent4">
                              <a:shade val="45000"/>
                              <a:satMod val="135000"/>
                            </a:schemeClr>
                            <a:prstClr val="white"/>
                          </a:duotone>
                        </a:blip>
                        <a:srcRect/>
                        <a:stretch>
                          <a:fillRect/>
                        </a:stretch>
                      </pic:blipFill>
                      <pic:spPr bwMode="auto">
                        <a:xfrm>
                          <a:off x="0" y="0"/>
                          <a:ext cx="593471" cy="85483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Pr>
              <w:rFonts w:ascii="Cambria" w:hAnsi="Cambria"/>
              <w:b/>
              <w:bCs/>
              <w:color w:val="4F81BD"/>
              <w:sz w:val="36"/>
              <w:szCs w:val="36"/>
            </w:rPr>
            <w:t xml:space="preserve">  </w:t>
          </w:r>
        </w:p>
      </w:tc>
    </w:tr>
  </w:tbl>
  <w:p w:rsidR="002B6E0A" w:rsidRDefault="00F15373">
    <w:pPr>
      <w:pStyle w:val="Encabezado"/>
    </w:pPr>
    <w:r>
      <w:rPr>
        <w:noProof/>
        <w:lang w:eastAsia="es-MX"/>
      </w:rPr>
      <w:drawing>
        <wp:anchor distT="0" distB="0" distL="114300" distR="114300" simplePos="0" relativeHeight="251659264" behindDoc="1" locked="0" layoutInCell="1" allowOverlap="1">
          <wp:simplePos x="0" y="0"/>
          <wp:positionH relativeFrom="column">
            <wp:posOffset>1037590</wp:posOffset>
          </wp:positionH>
          <wp:positionV relativeFrom="paragraph">
            <wp:posOffset>3206115</wp:posOffset>
          </wp:positionV>
          <wp:extent cx="3653155" cy="3657600"/>
          <wp:effectExtent l="19050" t="0" r="4445" b="0"/>
          <wp:wrapNone/>
          <wp:docPr id="3" name="1 Imagen" descr="LOGO_ITAIP_LUP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_ITAIP_LUPA 3.png"/>
                  <pic:cNvPicPr>
                    <a:picLocks noChangeAspect="1" noChangeArrowheads="1"/>
                  </pic:cNvPicPr>
                </pic:nvPicPr>
                <pic:blipFill>
                  <a:blip r:embed="rId3">
                    <a:lum bright="70000" contrast="-70000"/>
                  </a:blip>
                  <a:srcRect/>
                  <a:stretch>
                    <a:fillRect/>
                  </a:stretch>
                </pic:blipFill>
                <pic:spPr bwMode="auto">
                  <a:xfrm>
                    <a:off x="0" y="0"/>
                    <a:ext cx="3653155" cy="36576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6C3A"/>
    <w:multiLevelType w:val="hybridMultilevel"/>
    <w:tmpl w:val="69CAF5E6"/>
    <w:lvl w:ilvl="0" w:tplc="78642C64">
      <w:start w:val="1"/>
      <w:numFmt w:val="decimal"/>
      <w:lvlText w:val="%1)"/>
      <w:lvlJc w:val="left"/>
      <w:pPr>
        <w:ind w:left="1070" w:hanging="360"/>
      </w:pPr>
      <w:rPr>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
    <w:nsid w:val="01B36A7F"/>
    <w:multiLevelType w:val="hybridMultilevel"/>
    <w:tmpl w:val="057A928C"/>
    <w:lvl w:ilvl="0" w:tplc="87F2B172">
      <w:start w:val="1"/>
      <w:numFmt w:val="decimal"/>
      <w:lvlText w:val="%1)"/>
      <w:lvlJc w:val="left"/>
      <w:pPr>
        <w:ind w:left="1070" w:hanging="360"/>
      </w:pPr>
      <w:rPr>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nsid w:val="01DF002A"/>
    <w:multiLevelType w:val="hybridMultilevel"/>
    <w:tmpl w:val="925A0DC8"/>
    <w:lvl w:ilvl="0" w:tplc="26783150">
      <w:start w:val="1"/>
      <w:numFmt w:val="decimal"/>
      <w:lvlText w:val="%1."/>
      <w:lvlJc w:val="left"/>
      <w:pPr>
        <w:ind w:left="1146" w:hanging="360"/>
      </w:pPr>
      <w:rPr>
        <w:b/>
      </w:rPr>
    </w:lvl>
    <w:lvl w:ilvl="1" w:tplc="34AE6120">
      <w:start w:val="7"/>
      <w:numFmt w:val="decimal"/>
      <w:lvlText w:val="%2."/>
      <w:lvlJc w:val="left"/>
      <w:pPr>
        <w:ind w:left="1866" w:hanging="360"/>
      </w:pPr>
      <w:rPr>
        <w:rFonts w:hint="default"/>
        <w:b/>
      </w:r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
    <w:nsid w:val="039A55AF"/>
    <w:multiLevelType w:val="hybridMultilevel"/>
    <w:tmpl w:val="57D61C58"/>
    <w:lvl w:ilvl="0" w:tplc="78642C64">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1659155A"/>
    <w:multiLevelType w:val="hybridMultilevel"/>
    <w:tmpl w:val="73920694"/>
    <w:lvl w:ilvl="0" w:tplc="87F2B172">
      <w:start w:val="1"/>
      <w:numFmt w:val="decimal"/>
      <w:lvlText w:val="%1)"/>
      <w:lvlJc w:val="left"/>
      <w:pPr>
        <w:ind w:left="928" w:hanging="360"/>
      </w:pPr>
      <w:rPr>
        <w: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
    <w:nsid w:val="243A6EB9"/>
    <w:multiLevelType w:val="hybridMultilevel"/>
    <w:tmpl w:val="FEFCB842"/>
    <w:lvl w:ilvl="0" w:tplc="78642C64">
      <w:start w:val="1"/>
      <w:numFmt w:val="decimal"/>
      <w:lvlText w:val="%1)"/>
      <w:lvlJc w:val="left"/>
      <w:pPr>
        <w:ind w:left="1070" w:hanging="360"/>
      </w:pPr>
      <w:rPr>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6">
    <w:nsid w:val="2E175C99"/>
    <w:multiLevelType w:val="hybridMultilevel"/>
    <w:tmpl w:val="24368F36"/>
    <w:lvl w:ilvl="0" w:tplc="78642C64">
      <w:start w:val="1"/>
      <w:numFmt w:val="decimal"/>
      <w:lvlText w:val="%1)"/>
      <w:lvlJc w:val="left"/>
      <w:pPr>
        <w:ind w:left="1070" w:hanging="360"/>
      </w:pPr>
      <w:rPr>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7">
    <w:nsid w:val="33364937"/>
    <w:multiLevelType w:val="hybridMultilevel"/>
    <w:tmpl w:val="3328CCB0"/>
    <w:lvl w:ilvl="0" w:tplc="094CEF1E">
      <w:start w:val="1"/>
      <w:numFmt w:val="decimal"/>
      <w:lvlText w:val="%1)"/>
      <w:lvlJc w:val="left"/>
      <w:pPr>
        <w:ind w:left="1146" w:hanging="360"/>
      </w:pPr>
      <w:rPr>
        <w:rFonts w:cs="Times New Roman"/>
        <w:b/>
        <w:i w:val="0"/>
      </w:rPr>
    </w:lvl>
    <w:lvl w:ilvl="1" w:tplc="34AE6120">
      <w:start w:val="7"/>
      <w:numFmt w:val="decimal"/>
      <w:lvlText w:val="%2."/>
      <w:lvlJc w:val="left"/>
      <w:pPr>
        <w:ind w:left="1866" w:hanging="360"/>
      </w:pPr>
      <w:rPr>
        <w:rFonts w:hint="default"/>
        <w:b/>
      </w:r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nsid w:val="46463DEE"/>
    <w:multiLevelType w:val="hybridMultilevel"/>
    <w:tmpl w:val="057A928C"/>
    <w:lvl w:ilvl="0" w:tplc="87F2B172">
      <w:start w:val="1"/>
      <w:numFmt w:val="decimal"/>
      <w:lvlText w:val="%1)"/>
      <w:lvlJc w:val="left"/>
      <w:pPr>
        <w:ind w:left="1070" w:hanging="360"/>
      </w:pPr>
      <w:rPr>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nsid w:val="507C68D7"/>
    <w:multiLevelType w:val="hybridMultilevel"/>
    <w:tmpl w:val="B7D281EA"/>
    <w:lvl w:ilvl="0" w:tplc="5100C78A">
      <w:start w:val="1"/>
      <w:numFmt w:val="decimal"/>
      <w:lvlText w:val="%1)"/>
      <w:lvlJc w:val="left"/>
      <w:pPr>
        <w:ind w:left="1070" w:hanging="360"/>
      </w:pPr>
      <w:rPr>
        <w:b/>
        <w:i w:val="0"/>
        <w:sz w:val="22"/>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0">
    <w:nsid w:val="58876FEA"/>
    <w:multiLevelType w:val="hybridMultilevel"/>
    <w:tmpl w:val="7640F9E4"/>
    <w:lvl w:ilvl="0" w:tplc="10863886">
      <w:start w:val="1"/>
      <w:numFmt w:val="lowerLetter"/>
      <w:lvlText w:val="%1)"/>
      <w:lvlJc w:val="left"/>
      <w:pPr>
        <w:ind w:left="360" w:hanging="360"/>
      </w:pPr>
      <w:rPr>
        <w:rFonts w:hint="default"/>
        <w:b/>
      </w:rPr>
    </w:lvl>
    <w:lvl w:ilvl="1" w:tplc="5DAA9F7C">
      <w:start w:val="1"/>
      <w:numFmt w:val="decimal"/>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63696CAE"/>
    <w:multiLevelType w:val="hybridMultilevel"/>
    <w:tmpl w:val="73920694"/>
    <w:lvl w:ilvl="0" w:tplc="87F2B172">
      <w:start w:val="1"/>
      <w:numFmt w:val="decimal"/>
      <w:lvlText w:val="%1)"/>
      <w:lvlJc w:val="left"/>
      <w:pPr>
        <w:ind w:left="1070" w:hanging="360"/>
      </w:pPr>
      <w:rPr>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2">
    <w:nsid w:val="68610DE9"/>
    <w:multiLevelType w:val="hybridMultilevel"/>
    <w:tmpl w:val="CDB8BE70"/>
    <w:lvl w:ilvl="0" w:tplc="78642C64">
      <w:start w:val="1"/>
      <w:numFmt w:val="decimal"/>
      <w:lvlText w:val="%1)"/>
      <w:lvlJc w:val="left"/>
      <w:pPr>
        <w:ind w:left="1070" w:hanging="360"/>
      </w:pPr>
      <w:rPr>
        <w:b/>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3">
    <w:nsid w:val="6AB73F43"/>
    <w:multiLevelType w:val="hybridMultilevel"/>
    <w:tmpl w:val="EBEC60DA"/>
    <w:lvl w:ilvl="0" w:tplc="87F2B172">
      <w:start w:val="1"/>
      <w:numFmt w:val="decimal"/>
      <w:lvlText w:val="%1)"/>
      <w:lvlJc w:val="left"/>
      <w:pPr>
        <w:ind w:left="720" w:hanging="360"/>
      </w:pPr>
      <w:rPr>
        <w:b/>
      </w:rPr>
    </w:lvl>
    <w:lvl w:ilvl="1" w:tplc="87F2B172">
      <w:start w:val="1"/>
      <w:numFmt w:val="decimal"/>
      <w:lvlText w:val="%2)"/>
      <w:lvlJc w:val="left"/>
      <w:pPr>
        <w:ind w:left="107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E271DAA"/>
    <w:multiLevelType w:val="hybridMultilevel"/>
    <w:tmpl w:val="69CAF5E6"/>
    <w:lvl w:ilvl="0" w:tplc="78642C64">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7AAD0FB0"/>
    <w:multiLevelType w:val="hybridMultilevel"/>
    <w:tmpl w:val="A050985A"/>
    <w:lvl w:ilvl="0" w:tplc="378699F4">
      <w:start w:val="1"/>
      <w:numFmt w:val="decimal"/>
      <w:lvlText w:val="%1)"/>
      <w:lvlJc w:val="left"/>
      <w:pPr>
        <w:ind w:left="1068" w:hanging="360"/>
      </w:pPr>
      <w:rPr>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0"/>
  </w:num>
  <w:num w:numId="2">
    <w:abstractNumId w:val="2"/>
  </w:num>
  <w:num w:numId="3">
    <w:abstractNumId w:val="12"/>
  </w:num>
  <w:num w:numId="4">
    <w:abstractNumId w:val="1"/>
  </w:num>
  <w:num w:numId="5">
    <w:abstractNumId w:val="13"/>
  </w:num>
  <w:num w:numId="6">
    <w:abstractNumId w:val="4"/>
  </w:num>
  <w:num w:numId="7">
    <w:abstractNumId w:val="11"/>
  </w:num>
  <w:num w:numId="8">
    <w:abstractNumId w:val="3"/>
  </w:num>
  <w:num w:numId="9">
    <w:abstractNumId w:val="14"/>
  </w:num>
  <w:num w:numId="10">
    <w:abstractNumId w:val="0"/>
  </w:num>
  <w:num w:numId="11">
    <w:abstractNumId w:val="6"/>
  </w:num>
  <w:num w:numId="12">
    <w:abstractNumId w:val="9"/>
  </w:num>
  <w:num w:numId="13">
    <w:abstractNumId w:val="5"/>
  </w:num>
  <w:num w:numId="14">
    <w:abstractNumId w:val="7"/>
  </w:num>
  <w:num w:numId="15">
    <w:abstractNumId w:val="8"/>
  </w:num>
  <w:num w:numId="16">
    <w:abstractNumId w:val="1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62818"/>
  </w:hdrShapeDefaults>
  <w:footnotePr>
    <w:footnote w:id="-1"/>
    <w:footnote w:id="0"/>
  </w:footnotePr>
  <w:endnotePr>
    <w:endnote w:id="-1"/>
    <w:endnote w:id="0"/>
  </w:endnotePr>
  <w:compat/>
  <w:rsids>
    <w:rsidRoot w:val="00F15373"/>
    <w:rsid w:val="00006C03"/>
    <w:rsid w:val="00007C6A"/>
    <w:rsid w:val="00013619"/>
    <w:rsid w:val="000151C6"/>
    <w:rsid w:val="0002347A"/>
    <w:rsid w:val="00023815"/>
    <w:rsid w:val="000279D1"/>
    <w:rsid w:val="00034977"/>
    <w:rsid w:val="00036314"/>
    <w:rsid w:val="00045A96"/>
    <w:rsid w:val="00047548"/>
    <w:rsid w:val="00052225"/>
    <w:rsid w:val="000560CB"/>
    <w:rsid w:val="00063B00"/>
    <w:rsid w:val="0006591A"/>
    <w:rsid w:val="00066772"/>
    <w:rsid w:val="0007000A"/>
    <w:rsid w:val="00071F6C"/>
    <w:rsid w:val="00077EA0"/>
    <w:rsid w:val="00082018"/>
    <w:rsid w:val="000839FE"/>
    <w:rsid w:val="000856FE"/>
    <w:rsid w:val="0009214E"/>
    <w:rsid w:val="00092291"/>
    <w:rsid w:val="00093631"/>
    <w:rsid w:val="00096E58"/>
    <w:rsid w:val="00097B6F"/>
    <w:rsid w:val="000A0BB8"/>
    <w:rsid w:val="000B0BD9"/>
    <w:rsid w:val="000B14FA"/>
    <w:rsid w:val="000B74E2"/>
    <w:rsid w:val="000C3086"/>
    <w:rsid w:val="000C6315"/>
    <w:rsid w:val="000D336D"/>
    <w:rsid w:val="000D3987"/>
    <w:rsid w:val="000D3BCC"/>
    <w:rsid w:val="000D5CB0"/>
    <w:rsid w:val="000E31E5"/>
    <w:rsid w:val="000F1546"/>
    <w:rsid w:val="000F6D51"/>
    <w:rsid w:val="000F7243"/>
    <w:rsid w:val="00101378"/>
    <w:rsid w:val="00104B2E"/>
    <w:rsid w:val="001055EF"/>
    <w:rsid w:val="00107969"/>
    <w:rsid w:val="00112145"/>
    <w:rsid w:val="00112411"/>
    <w:rsid w:val="0012129C"/>
    <w:rsid w:val="001222C0"/>
    <w:rsid w:val="0012290B"/>
    <w:rsid w:val="00123478"/>
    <w:rsid w:val="0012382E"/>
    <w:rsid w:val="00127ADE"/>
    <w:rsid w:val="00132501"/>
    <w:rsid w:val="0013258F"/>
    <w:rsid w:val="00132D6F"/>
    <w:rsid w:val="00135B97"/>
    <w:rsid w:val="00136954"/>
    <w:rsid w:val="00145A1C"/>
    <w:rsid w:val="00151F92"/>
    <w:rsid w:val="00171EA9"/>
    <w:rsid w:val="00173263"/>
    <w:rsid w:val="00175D0E"/>
    <w:rsid w:val="00176A3F"/>
    <w:rsid w:val="00182350"/>
    <w:rsid w:val="001849C3"/>
    <w:rsid w:val="001976EC"/>
    <w:rsid w:val="001A0E69"/>
    <w:rsid w:val="001A1DFF"/>
    <w:rsid w:val="001A2C21"/>
    <w:rsid w:val="001A2E9D"/>
    <w:rsid w:val="001A4A6D"/>
    <w:rsid w:val="001B0BB4"/>
    <w:rsid w:val="001B55B2"/>
    <w:rsid w:val="001B772E"/>
    <w:rsid w:val="001C24D1"/>
    <w:rsid w:val="001C287E"/>
    <w:rsid w:val="001C2A5B"/>
    <w:rsid w:val="001C3C62"/>
    <w:rsid w:val="001C41A3"/>
    <w:rsid w:val="001C4ABC"/>
    <w:rsid w:val="001C76A8"/>
    <w:rsid w:val="001D5023"/>
    <w:rsid w:val="001E5065"/>
    <w:rsid w:val="001E6495"/>
    <w:rsid w:val="001F1FE4"/>
    <w:rsid w:val="001F49D1"/>
    <w:rsid w:val="001F6017"/>
    <w:rsid w:val="001F7E57"/>
    <w:rsid w:val="002002DF"/>
    <w:rsid w:val="00215E74"/>
    <w:rsid w:val="00223B99"/>
    <w:rsid w:val="002265A6"/>
    <w:rsid w:val="00230071"/>
    <w:rsid w:val="002326E1"/>
    <w:rsid w:val="002335BB"/>
    <w:rsid w:val="00233C7A"/>
    <w:rsid w:val="00234553"/>
    <w:rsid w:val="00237C65"/>
    <w:rsid w:val="00241BEE"/>
    <w:rsid w:val="00252CAA"/>
    <w:rsid w:val="00255C38"/>
    <w:rsid w:val="00256B9D"/>
    <w:rsid w:val="00257313"/>
    <w:rsid w:val="002575FD"/>
    <w:rsid w:val="00257B4C"/>
    <w:rsid w:val="002627DF"/>
    <w:rsid w:val="00264408"/>
    <w:rsid w:val="00267D39"/>
    <w:rsid w:val="0027106F"/>
    <w:rsid w:val="0027148F"/>
    <w:rsid w:val="002749C2"/>
    <w:rsid w:val="002762D5"/>
    <w:rsid w:val="00280136"/>
    <w:rsid w:val="00283207"/>
    <w:rsid w:val="00283BD8"/>
    <w:rsid w:val="00283D18"/>
    <w:rsid w:val="00283FA7"/>
    <w:rsid w:val="00292E42"/>
    <w:rsid w:val="002951AA"/>
    <w:rsid w:val="002968AF"/>
    <w:rsid w:val="002A5A70"/>
    <w:rsid w:val="002A671C"/>
    <w:rsid w:val="002B1291"/>
    <w:rsid w:val="002B2154"/>
    <w:rsid w:val="002C409E"/>
    <w:rsid w:val="002D2A8E"/>
    <w:rsid w:val="002D73FD"/>
    <w:rsid w:val="002E00BE"/>
    <w:rsid w:val="002F005E"/>
    <w:rsid w:val="00304B8A"/>
    <w:rsid w:val="00307D3E"/>
    <w:rsid w:val="00310D3C"/>
    <w:rsid w:val="00315318"/>
    <w:rsid w:val="003156CF"/>
    <w:rsid w:val="00323419"/>
    <w:rsid w:val="00326B9A"/>
    <w:rsid w:val="003275C2"/>
    <w:rsid w:val="00334279"/>
    <w:rsid w:val="00335932"/>
    <w:rsid w:val="003365B0"/>
    <w:rsid w:val="003370D9"/>
    <w:rsid w:val="00341DE7"/>
    <w:rsid w:val="00343322"/>
    <w:rsid w:val="00346EB1"/>
    <w:rsid w:val="003536B1"/>
    <w:rsid w:val="00357CE6"/>
    <w:rsid w:val="00363722"/>
    <w:rsid w:val="00365222"/>
    <w:rsid w:val="003668EF"/>
    <w:rsid w:val="0037151B"/>
    <w:rsid w:val="00373FD1"/>
    <w:rsid w:val="00381FA0"/>
    <w:rsid w:val="003838B1"/>
    <w:rsid w:val="00384DD8"/>
    <w:rsid w:val="00396834"/>
    <w:rsid w:val="003A014D"/>
    <w:rsid w:val="003A0AFA"/>
    <w:rsid w:val="003A104A"/>
    <w:rsid w:val="003A3EC5"/>
    <w:rsid w:val="003A4003"/>
    <w:rsid w:val="003A748B"/>
    <w:rsid w:val="003B33FB"/>
    <w:rsid w:val="003C25E2"/>
    <w:rsid w:val="003C4A86"/>
    <w:rsid w:val="003C73B9"/>
    <w:rsid w:val="003C7827"/>
    <w:rsid w:val="003D03CA"/>
    <w:rsid w:val="003D1526"/>
    <w:rsid w:val="003D2192"/>
    <w:rsid w:val="003D64C4"/>
    <w:rsid w:val="003D653F"/>
    <w:rsid w:val="003E1E1A"/>
    <w:rsid w:val="003E22AF"/>
    <w:rsid w:val="003E25DE"/>
    <w:rsid w:val="003E32E6"/>
    <w:rsid w:val="003E7599"/>
    <w:rsid w:val="003F040E"/>
    <w:rsid w:val="003F0742"/>
    <w:rsid w:val="003F10AD"/>
    <w:rsid w:val="003F48D8"/>
    <w:rsid w:val="003F4F19"/>
    <w:rsid w:val="003F5670"/>
    <w:rsid w:val="003F6458"/>
    <w:rsid w:val="00403388"/>
    <w:rsid w:val="004041B3"/>
    <w:rsid w:val="00404D32"/>
    <w:rsid w:val="00413AE4"/>
    <w:rsid w:val="00420C70"/>
    <w:rsid w:val="00427C03"/>
    <w:rsid w:val="004353DB"/>
    <w:rsid w:val="0043738C"/>
    <w:rsid w:val="004416D4"/>
    <w:rsid w:val="004423F9"/>
    <w:rsid w:val="004468CF"/>
    <w:rsid w:val="00447F79"/>
    <w:rsid w:val="00454968"/>
    <w:rsid w:val="004566FE"/>
    <w:rsid w:val="00460BBE"/>
    <w:rsid w:val="00467BCD"/>
    <w:rsid w:val="004725C3"/>
    <w:rsid w:val="0047715B"/>
    <w:rsid w:val="00481A36"/>
    <w:rsid w:val="00482B56"/>
    <w:rsid w:val="00490D1E"/>
    <w:rsid w:val="00491235"/>
    <w:rsid w:val="00491CB8"/>
    <w:rsid w:val="00492E9A"/>
    <w:rsid w:val="00494F3C"/>
    <w:rsid w:val="004A12F3"/>
    <w:rsid w:val="004A36B6"/>
    <w:rsid w:val="004A3FE6"/>
    <w:rsid w:val="004A55E3"/>
    <w:rsid w:val="004A663A"/>
    <w:rsid w:val="004A6EAC"/>
    <w:rsid w:val="004B1D6F"/>
    <w:rsid w:val="004B239B"/>
    <w:rsid w:val="004B3D90"/>
    <w:rsid w:val="004B3E60"/>
    <w:rsid w:val="004C04DD"/>
    <w:rsid w:val="004C0CEE"/>
    <w:rsid w:val="004C559B"/>
    <w:rsid w:val="004D252F"/>
    <w:rsid w:val="004D7F11"/>
    <w:rsid w:val="004E705D"/>
    <w:rsid w:val="004F1604"/>
    <w:rsid w:val="004F262C"/>
    <w:rsid w:val="004F692A"/>
    <w:rsid w:val="00500692"/>
    <w:rsid w:val="005019FF"/>
    <w:rsid w:val="00504554"/>
    <w:rsid w:val="005048A8"/>
    <w:rsid w:val="00505A71"/>
    <w:rsid w:val="00506E6C"/>
    <w:rsid w:val="00507A30"/>
    <w:rsid w:val="00512297"/>
    <w:rsid w:val="00512B73"/>
    <w:rsid w:val="00515D33"/>
    <w:rsid w:val="00516060"/>
    <w:rsid w:val="00516366"/>
    <w:rsid w:val="00517DC3"/>
    <w:rsid w:val="005226CC"/>
    <w:rsid w:val="0052431A"/>
    <w:rsid w:val="00526AC8"/>
    <w:rsid w:val="0052718B"/>
    <w:rsid w:val="00531C93"/>
    <w:rsid w:val="005326F5"/>
    <w:rsid w:val="00534A0B"/>
    <w:rsid w:val="00537CE0"/>
    <w:rsid w:val="00541CF1"/>
    <w:rsid w:val="0054242C"/>
    <w:rsid w:val="00542E2E"/>
    <w:rsid w:val="00545298"/>
    <w:rsid w:val="00551FDC"/>
    <w:rsid w:val="00555543"/>
    <w:rsid w:val="00555AFA"/>
    <w:rsid w:val="0055637B"/>
    <w:rsid w:val="00563858"/>
    <w:rsid w:val="00572019"/>
    <w:rsid w:val="005846F7"/>
    <w:rsid w:val="00585CCF"/>
    <w:rsid w:val="00586343"/>
    <w:rsid w:val="00587000"/>
    <w:rsid w:val="005A1A9A"/>
    <w:rsid w:val="005A44EE"/>
    <w:rsid w:val="005A5BA3"/>
    <w:rsid w:val="005B13E0"/>
    <w:rsid w:val="005B1F73"/>
    <w:rsid w:val="005B23FC"/>
    <w:rsid w:val="005B3461"/>
    <w:rsid w:val="005B38E6"/>
    <w:rsid w:val="005B668B"/>
    <w:rsid w:val="005C11D3"/>
    <w:rsid w:val="005C3C13"/>
    <w:rsid w:val="005C6141"/>
    <w:rsid w:val="005E1456"/>
    <w:rsid w:val="005E393C"/>
    <w:rsid w:val="005E3FB5"/>
    <w:rsid w:val="005E7894"/>
    <w:rsid w:val="005F7355"/>
    <w:rsid w:val="00601406"/>
    <w:rsid w:val="00603389"/>
    <w:rsid w:val="0061163A"/>
    <w:rsid w:val="006127BD"/>
    <w:rsid w:val="00612D5E"/>
    <w:rsid w:val="00612EEE"/>
    <w:rsid w:val="00615A44"/>
    <w:rsid w:val="006174ED"/>
    <w:rsid w:val="00620723"/>
    <w:rsid w:val="00621B4D"/>
    <w:rsid w:val="0062393B"/>
    <w:rsid w:val="006252BA"/>
    <w:rsid w:val="00631719"/>
    <w:rsid w:val="00634025"/>
    <w:rsid w:val="00643660"/>
    <w:rsid w:val="00645DC3"/>
    <w:rsid w:val="00650C1B"/>
    <w:rsid w:val="00652CF9"/>
    <w:rsid w:val="006611F8"/>
    <w:rsid w:val="00670C56"/>
    <w:rsid w:val="0067104F"/>
    <w:rsid w:val="00674DFA"/>
    <w:rsid w:val="00681001"/>
    <w:rsid w:val="0068225D"/>
    <w:rsid w:val="0068446E"/>
    <w:rsid w:val="006878F1"/>
    <w:rsid w:val="006928C5"/>
    <w:rsid w:val="006930DC"/>
    <w:rsid w:val="00693445"/>
    <w:rsid w:val="006934A3"/>
    <w:rsid w:val="00696D36"/>
    <w:rsid w:val="006A4232"/>
    <w:rsid w:val="006B2294"/>
    <w:rsid w:val="006B28AD"/>
    <w:rsid w:val="006B565F"/>
    <w:rsid w:val="006B5BC8"/>
    <w:rsid w:val="006C059E"/>
    <w:rsid w:val="006C0769"/>
    <w:rsid w:val="006C26CF"/>
    <w:rsid w:val="006C2720"/>
    <w:rsid w:val="006C3EA6"/>
    <w:rsid w:val="006C593E"/>
    <w:rsid w:val="006D03B9"/>
    <w:rsid w:val="006D046F"/>
    <w:rsid w:val="006D3347"/>
    <w:rsid w:val="006D666C"/>
    <w:rsid w:val="006D7C44"/>
    <w:rsid w:val="006E3157"/>
    <w:rsid w:val="006E41BB"/>
    <w:rsid w:val="006E6A61"/>
    <w:rsid w:val="006F0602"/>
    <w:rsid w:val="006F29FA"/>
    <w:rsid w:val="006F338F"/>
    <w:rsid w:val="006F4DD8"/>
    <w:rsid w:val="006F792A"/>
    <w:rsid w:val="006F7D21"/>
    <w:rsid w:val="00705B6F"/>
    <w:rsid w:val="00710C96"/>
    <w:rsid w:val="00720D97"/>
    <w:rsid w:val="00722DDC"/>
    <w:rsid w:val="00725984"/>
    <w:rsid w:val="00730666"/>
    <w:rsid w:val="00737A9B"/>
    <w:rsid w:val="00740A0B"/>
    <w:rsid w:val="00741974"/>
    <w:rsid w:val="007473F0"/>
    <w:rsid w:val="00751D66"/>
    <w:rsid w:val="007531D5"/>
    <w:rsid w:val="00755C55"/>
    <w:rsid w:val="007568FD"/>
    <w:rsid w:val="00756C29"/>
    <w:rsid w:val="00760A9F"/>
    <w:rsid w:val="00761600"/>
    <w:rsid w:val="00764974"/>
    <w:rsid w:val="00764AC3"/>
    <w:rsid w:val="0076783E"/>
    <w:rsid w:val="0077218D"/>
    <w:rsid w:val="007773D4"/>
    <w:rsid w:val="00777D29"/>
    <w:rsid w:val="00780A29"/>
    <w:rsid w:val="00782A7E"/>
    <w:rsid w:val="00786B99"/>
    <w:rsid w:val="007A48B2"/>
    <w:rsid w:val="007A4A0B"/>
    <w:rsid w:val="007A4CE6"/>
    <w:rsid w:val="007A5960"/>
    <w:rsid w:val="007A6583"/>
    <w:rsid w:val="007B4414"/>
    <w:rsid w:val="007B44A3"/>
    <w:rsid w:val="007B6B19"/>
    <w:rsid w:val="007C4B76"/>
    <w:rsid w:val="007C5FBA"/>
    <w:rsid w:val="007C6805"/>
    <w:rsid w:val="007D0967"/>
    <w:rsid w:val="007D2982"/>
    <w:rsid w:val="007D2E5B"/>
    <w:rsid w:val="007D485C"/>
    <w:rsid w:val="007D53D9"/>
    <w:rsid w:val="007D586C"/>
    <w:rsid w:val="007D70A4"/>
    <w:rsid w:val="007E26B9"/>
    <w:rsid w:val="007E44FF"/>
    <w:rsid w:val="007F073B"/>
    <w:rsid w:val="007F0EF1"/>
    <w:rsid w:val="007F2FCC"/>
    <w:rsid w:val="007F6583"/>
    <w:rsid w:val="00801668"/>
    <w:rsid w:val="0080367B"/>
    <w:rsid w:val="00803FF2"/>
    <w:rsid w:val="00804D08"/>
    <w:rsid w:val="00805123"/>
    <w:rsid w:val="008125A0"/>
    <w:rsid w:val="008151C4"/>
    <w:rsid w:val="00815588"/>
    <w:rsid w:val="00816C08"/>
    <w:rsid w:val="008207C4"/>
    <w:rsid w:val="00837E23"/>
    <w:rsid w:val="00842688"/>
    <w:rsid w:val="008438CD"/>
    <w:rsid w:val="00847C4B"/>
    <w:rsid w:val="00850177"/>
    <w:rsid w:val="00850933"/>
    <w:rsid w:val="008529C4"/>
    <w:rsid w:val="00856618"/>
    <w:rsid w:val="00865A0F"/>
    <w:rsid w:val="00866ED8"/>
    <w:rsid w:val="00871C1A"/>
    <w:rsid w:val="0087245F"/>
    <w:rsid w:val="0087533A"/>
    <w:rsid w:val="00881E89"/>
    <w:rsid w:val="008831F6"/>
    <w:rsid w:val="0088691A"/>
    <w:rsid w:val="00890F92"/>
    <w:rsid w:val="00896310"/>
    <w:rsid w:val="008A1548"/>
    <w:rsid w:val="008A300B"/>
    <w:rsid w:val="008A35D2"/>
    <w:rsid w:val="008B282B"/>
    <w:rsid w:val="008B32D2"/>
    <w:rsid w:val="008B5BF0"/>
    <w:rsid w:val="008B6D4F"/>
    <w:rsid w:val="008D2CA8"/>
    <w:rsid w:val="008D37C3"/>
    <w:rsid w:val="008D5723"/>
    <w:rsid w:val="008E065F"/>
    <w:rsid w:val="008F09D2"/>
    <w:rsid w:val="008F447A"/>
    <w:rsid w:val="008F587A"/>
    <w:rsid w:val="00905DC2"/>
    <w:rsid w:val="00905E81"/>
    <w:rsid w:val="009131F2"/>
    <w:rsid w:val="0091374A"/>
    <w:rsid w:val="00917F6F"/>
    <w:rsid w:val="00923CC0"/>
    <w:rsid w:val="009245E6"/>
    <w:rsid w:val="00925D33"/>
    <w:rsid w:val="00931714"/>
    <w:rsid w:val="00933EA5"/>
    <w:rsid w:val="009406E8"/>
    <w:rsid w:val="00945187"/>
    <w:rsid w:val="009455F0"/>
    <w:rsid w:val="009459A4"/>
    <w:rsid w:val="0095023C"/>
    <w:rsid w:val="00953D8A"/>
    <w:rsid w:val="00960FCA"/>
    <w:rsid w:val="0096267D"/>
    <w:rsid w:val="009662C2"/>
    <w:rsid w:val="00971A9A"/>
    <w:rsid w:val="00973236"/>
    <w:rsid w:val="00975F8C"/>
    <w:rsid w:val="00980480"/>
    <w:rsid w:val="00982003"/>
    <w:rsid w:val="00982116"/>
    <w:rsid w:val="0098462E"/>
    <w:rsid w:val="00992C9A"/>
    <w:rsid w:val="00994A68"/>
    <w:rsid w:val="00994BDC"/>
    <w:rsid w:val="009970E6"/>
    <w:rsid w:val="009B119E"/>
    <w:rsid w:val="009B3F97"/>
    <w:rsid w:val="009B7EDD"/>
    <w:rsid w:val="009C251C"/>
    <w:rsid w:val="009C2779"/>
    <w:rsid w:val="009D0ECE"/>
    <w:rsid w:val="009D40C7"/>
    <w:rsid w:val="009E0141"/>
    <w:rsid w:val="009E0D0D"/>
    <w:rsid w:val="009E16FC"/>
    <w:rsid w:val="009E3E6F"/>
    <w:rsid w:val="009E4C7A"/>
    <w:rsid w:val="009E7E9E"/>
    <w:rsid w:val="009F1A33"/>
    <w:rsid w:val="009F3E75"/>
    <w:rsid w:val="009F3F99"/>
    <w:rsid w:val="009F4401"/>
    <w:rsid w:val="00A04534"/>
    <w:rsid w:val="00A04B0E"/>
    <w:rsid w:val="00A055F8"/>
    <w:rsid w:val="00A06CB1"/>
    <w:rsid w:val="00A07896"/>
    <w:rsid w:val="00A07E05"/>
    <w:rsid w:val="00A104CA"/>
    <w:rsid w:val="00A11DB2"/>
    <w:rsid w:val="00A204BE"/>
    <w:rsid w:val="00A2719F"/>
    <w:rsid w:val="00A31CF4"/>
    <w:rsid w:val="00A31DAF"/>
    <w:rsid w:val="00A3392E"/>
    <w:rsid w:val="00A346C5"/>
    <w:rsid w:val="00A36B85"/>
    <w:rsid w:val="00A378B1"/>
    <w:rsid w:val="00A37C2A"/>
    <w:rsid w:val="00A42483"/>
    <w:rsid w:val="00A4284F"/>
    <w:rsid w:val="00A45894"/>
    <w:rsid w:val="00A5125F"/>
    <w:rsid w:val="00A514BA"/>
    <w:rsid w:val="00A5431B"/>
    <w:rsid w:val="00A60A7C"/>
    <w:rsid w:val="00A62BC5"/>
    <w:rsid w:val="00A6661E"/>
    <w:rsid w:val="00A6694D"/>
    <w:rsid w:val="00A676FD"/>
    <w:rsid w:val="00A711BE"/>
    <w:rsid w:val="00A726E4"/>
    <w:rsid w:val="00A7355B"/>
    <w:rsid w:val="00A75530"/>
    <w:rsid w:val="00A80044"/>
    <w:rsid w:val="00A81520"/>
    <w:rsid w:val="00A862E1"/>
    <w:rsid w:val="00A90366"/>
    <w:rsid w:val="00A93BAB"/>
    <w:rsid w:val="00A9472D"/>
    <w:rsid w:val="00A974DD"/>
    <w:rsid w:val="00A97A03"/>
    <w:rsid w:val="00AA29D0"/>
    <w:rsid w:val="00AA5D2A"/>
    <w:rsid w:val="00AB08AB"/>
    <w:rsid w:val="00AB0DDD"/>
    <w:rsid w:val="00AB2BC0"/>
    <w:rsid w:val="00AB3BFA"/>
    <w:rsid w:val="00AB6483"/>
    <w:rsid w:val="00AB7936"/>
    <w:rsid w:val="00AC783B"/>
    <w:rsid w:val="00AD4A60"/>
    <w:rsid w:val="00AE4199"/>
    <w:rsid w:val="00AE4403"/>
    <w:rsid w:val="00AF175F"/>
    <w:rsid w:val="00B00195"/>
    <w:rsid w:val="00B0494C"/>
    <w:rsid w:val="00B11263"/>
    <w:rsid w:val="00B21E25"/>
    <w:rsid w:val="00B33387"/>
    <w:rsid w:val="00B35124"/>
    <w:rsid w:val="00B3642B"/>
    <w:rsid w:val="00B41562"/>
    <w:rsid w:val="00B45D6C"/>
    <w:rsid w:val="00B513FC"/>
    <w:rsid w:val="00B6112B"/>
    <w:rsid w:val="00B6592D"/>
    <w:rsid w:val="00B66A35"/>
    <w:rsid w:val="00B7100F"/>
    <w:rsid w:val="00B72D6F"/>
    <w:rsid w:val="00B74846"/>
    <w:rsid w:val="00B7501D"/>
    <w:rsid w:val="00B81024"/>
    <w:rsid w:val="00B81C58"/>
    <w:rsid w:val="00B83668"/>
    <w:rsid w:val="00B84545"/>
    <w:rsid w:val="00B91A24"/>
    <w:rsid w:val="00B9273F"/>
    <w:rsid w:val="00B92E24"/>
    <w:rsid w:val="00B92FAA"/>
    <w:rsid w:val="00B9710A"/>
    <w:rsid w:val="00BA044F"/>
    <w:rsid w:val="00BA1DBE"/>
    <w:rsid w:val="00BA5E92"/>
    <w:rsid w:val="00BB05AD"/>
    <w:rsid w:val="00BB25F3"/>
    <w:rsid w:val="00BB40F1"/>
    <w:rsid w:val="00BC0B4F"/>
    <w:rsid w:val="00BC1871"/>
    <w:rsid w:val="00BC38B3"/>
    <w:rsid w:val="00BC5CB5"/>
    <w:rsid w:val="00BD2E4C"/>
    <w:rsid w:val="00BD2F1A"/>
    <w:rsid w:val="00BD6E3F"/>
    <w:rsid w:val="00BD7B48"/>
    <w:rsid w:val="00BE1D53"/>
    <w:rsid w:val="00BE2679"/>
    <w:rsid w:val="00BE28D0"/>
    <w:rsid w:val="00BE470A"/>
    <w:rsid w:val="00BE564F"/>
    <w:rsid w:val="00BE5717"/>
    <w:rsid w:val="00C00810"/>
    <w:rsid w:val="00C0103E"/>
    <w:rsid w:val="00C01E2F"/>
    <w:rsid w:val="00C024AC"/>
    <w:rsid w:val="00C03B43"/>
    <w:rsid w:val="00C042CC"/>
    <w:rsid w:val="00C07192"/>
    <w:rsid w:val="00C10DE5"/>
    <w:rsid w:val="00C158FC"/>
    <w:rsid w:val="00C2727E"/>
    <w:rsid w:val="00C325A1"/>
    <w:rsid w:val="00C32C5E"/>
    <w:rsid w:val="00C32CD3"/>
    <w:rsid w:val="00C331C4"/>
    <w:rsid w:val="00C355C3"/>
    <w:rsid w:val="00C43BB0"/>
    <w:rsid w:val="00C44E6F"/>
    <w:rsid w:val="00C4735F"/>
    <w:rsid w:val="00C50727"/>
    <w:rsid w:val="00C53431"/>
    <w:rsid w:val="00C55C5A"/>
    <w:rsid w:val="00C56107"/>
    <w:rsid w:val="00C564A8"/>
    <w:rsid w:val="00C56F07"/>
    <w:rsid w:val="00C6178C"/>
    <w:rsid w:val="00C62257"/>
    <w:rsid w:val="00C629F1"/>
    <w:rsid w:val="00C653D3"/>
    <w:rsid w:val="00C6607F"/>
    <w:rsid w:val="00C675EA"/>
    <w:rsid w:val="00C706DC"/>
    <w:rsid w:val="00C740C3"/>
    <w:rsid w:val="00C77FB6"/>
    <w:rsid w:val="00C8340E"/>
    <w:rsid w:val="00C83F58"/>
    <w:rsid w:val="00C91698"/>
    <w:rsid w:val="00C93C58"/>
    <w:rsid w:val="00C93CF0"/>
    <w:rsid w:val="00CA2D24"/>
    <w:rsid w:val="00CA3303"/>
    <w:rsid w:val="00CB021B"/>
    <w:rsid w:val="00CB4A86"/>
    <w:rsid w:val="00CC1E7D"/>
    <w:rsid w:val="00CC505C"/>
    <w:rsid w:val="00CC579D"/>
    <w:rsid w:val="00CD34D2"/>
    <w:rsid w:val="00CD7680"/>
    <w:rsid w:val="00CD7811"/>
    <w:rsid w:val="00CE5598"/>
    <w:rsid w:val="00CE6AC9"/>
    <w:rsid w:val="00CE728B"/>
    <w:rsid w:val="00CF2432"/>
    <w:rsid w:val="00CF3231"/>
    <w:rsid w:val="00CF41C8"/>
    <w:rsid w:val="00CF7F94"/>
    <w:rsid w:val="00D00593"/>
    <w:rsid w:val="00D024D8"/>
    <w:rsid w:val="00D02908"/>
    <w:rsid w:val="00D02B96"/>
    <w:rsid w:val="00D03A8B"/>
    <w:rsid w:val="00D04BF5"/>
    <w:rsid w:val="00D05BD2"/>
    <w:rsid w:val="00D066C0"/>
    <w:rsid w:val="00D15DED"/>
    <w:rsid w:val="00D1682F"/>
    <w:rsid w:val="00D22219"/>
    <w:rsid w:val="00D2247A"/>
    <w:rsid w:val="00D2361A"/>
    <w:rsid w:val="00D265FA"/>
    <w:rsid w:val="00D26A8F"/>
    <w:rsid w:val="00D273A0"/>
    <w:rsid w:val="00D300CD"/>
    <w:rsid w:val="00D30C15"/>
    <w:rsid w:val="00D30D47"/>
    <w:rsid w:val="00D31282"/>
    <w:rsid w:val="00D31AD5"/>
    <w:rsid w:val="00D325F4"/>
    <w:rsid w:val="00D33B45"/>
    <w:rsid w:val="00D33CA0"/>
    <w:rsid w:val="00D3487E"/>
    <w:rsid w:val="00D3533C"/>
    <w:rsid w:val="00D35DA9"/>
    <w:rsid w:val="00D4141E"/>
    <w:rsid w:val="00D44860"/>
    <w:rsid w:val="00D50737"/>
    <w:rsid w:val="00D52266"/>
    <w:rsid w:val="00D5245D"/>
    <w:rsid w:val="00D525BC"/>
    <w:rsid w:val="00D52627"/>
    <w:rsid w:val="00D53DDD"/>
    <w:rsid w:val="00D57A3E"/>
    <w:rsid w:val="00D63F7F"/>
    <w:rsid w:val="00D65088"/>
    <w:rsid w:val="00D65E50"/>
    <w:rsid w:val="00D676F5"/>
    <w:rsid w:val="00D714B0"/>
    <w:rsid w:val="00D714D4"/>
    <w:rsid w:val="00D71C3D"/>
    <w:rsid w:val="00D75241"/>
    <w:rsid w:val="00D80DE2"/>
    <w:rsid w:val="00D87BF6"/>
    <w:rsid w:val="00D87EA9"/>
    <w:rsid w:val="00D9042F"/>
    <w:rsid w:val="00D91561"/>
    <w:rsid w:val="00D91B7C"/>
    <w:rsid w:val="00D949D7"/>
    <w:rsid w:val="00D95865"/>
    <w:rsid w:val="00DA18EA"/>
    <w:rsid w:val="00DA5DFA"/>
    <w:rsid w:val="00DA7CB1"/>
    <w:rsid w:val="00DB588B"/>
    <w:rsid w:val="00DC0AD1"/>
    <w:rsid w:val="00DC1F21"/>
    <w:rsid w:val="00DC377B"/>
    <w:rsid w:val="00DC6375"/>
    <w:rsid w:val="00DC6CDC"/>
    <w:rsid w:val="00DD3889"/>
    <w:rsid w:val="00DD50EC"/>
    <w:rsid w:val="00DE10AD"/>
    <w:rsid w:val="00DE4CB3"/>
    <w:rsid w:val="00DE6FBE"/>
    <w:rsid w:val="00DF693D"/>
    <w:rsid w:val="00E003F8"/>
    <w:rsid w:val="00E1410A"/>
    <w:rsid w:val="00E14909"/>
    <w:rsid w:val="00E14DD4"/>
    <w:rsid w:val="00E15BCB"/>
    <w:rsid w:val="00E16522"/>
    <w:rsid w:val="00E24A07"/>
    <w:rsid w:val="00E24A47"/>
    <w:rsid w:val="00E25524"/>
    <w:rsid w:val="00E269F9"/>
    <w:rsid w:val="00E26D46"/>
    <w:rsid w:val="00E312CC"/>
    <w:rsid w:val="00E320F9"/>
    <w:rsid w:val="00E32D23"/>
    <w:rsid w:val="00E32F5B"/>
    <w:rsid w:val="00E33419"/>
    <w:rsid w:val="00E33705"/>
    <w:rsid w:val="00E34E70"/>
    <w:rsid w:val="00E350E6"/>
    <w:rsid w:val="00E37153"/>
    <w:rsid w:val="00E40CB9"/>
    <w:rsid w:val="00E45378"/>
    <w:rsid w:val="00E456F5"/>
    <w:rsid w:val="00E4571F"/>
    <w:rsid w:val="00E46FAE"/>
    <w:rsid w:val="00E5002A"/>
    <w:rsid w:val="00E53C18"/>
    <w:rsid w:val="00E55CBE"/>
    <w:rsid w:val="00E60229"/>
    <w:rsid w:val="00E63CAB"/>
    <w:rsid w:val="00E64A9A"/>
    <w:rsid w:val="00E73B87"/>
    <w:rsid w:val="00E81E2C"/>
    <w:rsid w:val="00E8573F"/>
    <w:rsid w:val="00E8585A"/>
    <w:rsid w:val="00E87524"/>
    <w:rsid w:val="00E92794"/>
    <w:rsid w:val="00E950A6"/>
    <w:rsid w:val="00E973FC"/>
    <w:rsid w:val="00E974C5"/>
    <w:rsid w:val="00EA0CF3"/>
    <w:rsid w:val="00EA257B"/>
    <w:rsid w:val="00EA59CB"/>
    <w:rsid w:val="00EB0A17"/>
    <w:rsid w:val="00EB0A65"/>
    <w:rsid w:val="00EB244D"/>
    <w:rsid w:val="00EB2FC5"/>
    <w:rsid w:val="00EB7EA8"/>
    <w:rsid w:val="00EC287F"/>
    <w:rsid w:val="00EC517B"/>
    <w:rsid w:val="00ED1148"/>
    <w:rsid w:val="00ED3AF3"/>
    <w:rsid w:val="00ED3EED"/>
    <w:rsid w:val="00ED7B08"/>
    <w:rsid w:val="00EE2783"/>
    <w:rsid w:val="00EE69FA"/>
    <w:rsid w:val="00EF55D8"/>
    <w:rsid w:val="00F01F5F"/>
    <w:rsid w:val="00F031C8"/>
    <w:rsid w:val="00F03B77"/>
    <w:rsid w:val="00F03BAF"/>
    <w:rsid w:val="00F07951"/>
    <w:rsid w:val="00F116EF"/>
    <w:rsid w:val="00F15373"/>
    <w:rsid w:val="00F17B0A"/>
    <w:rsid w:val="00F20041"/>
    <w:rsid w:val="00F230C7"/>
    <w:rsid w:val="00F2333D"/>
    <w:rsid w:val="00F24108"/>
    <w:rsid w:val="00F2534F"/>
    <w:rsid w:val="00F36B6B"/>
    <w:rsid w:val="00F372AA"/>
    <w:rsid w:val="00F4323A"/>
    <w:rsid w:val="00F461E4"/>
    <w:rsid w:val="00F47B43"/>
    <w:rsid w:val="00F546D1"/>
    <w:rsid w:val="00F55CCC"/>
    <w:rsid w:val="00F56AF9"/>
    <w:rsid w:val="00F63921"/>
    <w:rsid w:val="00F6410E"/>
    <w:rsid w:val="00F6429E"/>
    <w:rsid w:val="00F705BD"/>
    <w:rsid w:val="00F7196C"/>
    <w:rsid w:val="00F777CD"/>
    <w:rsid w:val="00F77FA1"/>
    <w:rsid w:val="00F83B79"/>
    <w:rsid w:val="00F840E5"/>
    <w:rsid w:val="00F84169"/>
    <w:rsid w:val="00F877A4"/>
    <w:rsid w:val="00F90F45"/>
    <w:rsid w:val="00F91D04"/>
    <w:rsid w:val="00F933B7"/>
    <w:rsid w:val="00FA302A"/>
    <w:rsid w:val="00FA388E"/>
    <w:rsid w:val="00FA608F"/>
    <w:rsid w:val="00FB1E80"/>
    <w:rsid w:val="00FB6296"/>
    <w:rsid w:val="00FB6829"/>
    <w:rsid w:val="00FC1B15"/>
    <w:rsid w:val="00FD1F3B"/>
    <w:rsid w:val="00FD3F0D"/>
    <w:rsid w:val="00FD44FC"/>
    <w:rsid w:val="00FD662B"/>
    <w:rsid w:val="00FE46FF"/>
    <w:rsid w:val="00FE4852"/>
    <w:rsid w:val="00FE7E24"/>
    <w:rsid w:val="00FF0BBD"/>
    <w:rsid w:val="00FF1F29"/>
    <w:rsid w:val="00FF2389"/>
    <w:rsid w:val="00FF3F5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373"/>
    <w:rPr>
      <w:rFonts w:ascii="Calibri" w:eastAsia="Calibri" w:hAnsi="Calibri" w:cs="Times New Roman"/>
    </w:rPr>
  </w:style>
  <w:style w:type="paragraph" w:styleId="Ttulo1">
    <w:name w:val="heading 1"/>
    <w:basedOn w:val="Normal"/>
    <w:link w:val="Ttulo1Car"/>
    <w:uiPriority w:val="9"/>
    <w:qFormat/>
    <w:rsid w:val="00C56107"/>
    <w:pPr>
      <w:spacing w:before="100" w:beforeAutospacing="1" w:after="100" w:afterAutospacing="1" w:line="240" w:lineRule="auto"/>
      <w:outlineLvl w:val="0"/>
    </w:pPr>
    <w:rPr>
      <w:rFonts w:ascii="Times New Roman" w:eastAsia="Times New Roman" w:hAnsi="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5373"/>
    <w:pPr>
      <w:ind w:left="720"/>
      <w:contextualSpacing/>
    </w:pPr>
  </w:style>
  <w:style w:type="paragraph" w:styleId="Encabezado">
    <w:name w:val="header"/>
    <w:basedOn w:val="Normal"/>
    <w:link w:val="EncabezadoCar"/>
    <w:uiPriority w:val="99"/>
    <w:rsid w:val="00F153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373"/>
    <w:rPr>
      <w:rFonts w:ascii="Calibri" w:eastAsia="Calibri" w:hAnsi="Calibri" w:cs="Times New Roman"/>
    </w:rPr>
  </w:style>
  <w:style w:type="paragraph" w:styleId="Piedepgina">
    <w:name w:val="footer"/>
    <w:basedOn w:val="Normal"/>
    <w:link w:val="PiedepginaCar"/>
    <w:uiPriority w:val="99"/>
    <w:rsid w:val="00F153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373"/>
    <w:rPr>
      <w:rFonts w:ascii="Calibri" w:eastAsia="Calibri" w:hAnsi="Calibri" w:cs="Times New Roman"/>
    </w:rPr>
  </w:style>
  <w:style w:type="paragraph" w:styleId="Sinespaciado">
    <w:name w:val="No Spacing"/>
    <w:uiPriority w:val="1"/>
    <w:qFormat/>
    <w:rsid w:val="00F15373"/>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F153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5373"/>
    <w:rPr>
      <w:rFonts w:ascii="Tahoma" w:eastAsia="Calibri" w:hAnsi="Tahoma" w:cs="Tahoma"/>
      <w:sz w:val="16"/>
      <w:szCs w:val="16"/>
    </w:rPr>
  </w:style>
  <w:style w:type="character" w:customStyle="1" w:styleId="Ttulo1Car">
    <w:name w:val="Título 1 Car"/>
    <w:basedOn w:val="Fuentedeprrafopredeter"/>
    <w:link w:val="Ttulo1"/>
    <w:uiPriority w:val="9"/>
    <w:rsid w:val="00C56107"/>
    <w:rPr>
      <w:rFonts w:ascii="Times New Roman" w:eastAsia="Times New Roman" w:hAnsi="Times New Roman" w:cs="Times New Roman"/>
      <w:b/>
      <w:bCs/>
      <w:kern w:val="36"/>
      <w:sz w:val="48"/>
      <w:szCs w:val="48"/>
      <w:lang w:eastAsia="es-MX"/>
    </w:rPr>
  </w:style>
  <w:style w:type="table" w:styleId="Listavistosa-nfasis4">
    <w:name w:val="Colorful List Accent 4"/>
    <w:basedOn w:val="Tablanormal"/>
    <w:uiPriority w:val="72"/>
    <w:rsid w:val="007D53D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styleId="Hipervnculo">
    <w:name w:val="Hyperlink"/>
    <w:basedOn w:val="Fuentedeprrafopredeter"/>
    <w:uiPriority w:val="99"/>
    <w:unhideWhenUsed/>
    <w:rsid w:val="003A01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373"/>
    <w:rPr>
      <w:rFonts w:ascii="Calibri" w:eastAsia="Calibri" w:hAnsi="Calibri" w:cs="Times New Roman"/>
    </w:rPr>
  </w:style>
  <w:style w:type="paragraph" w:styleId="Ttulo1">
    <w:name w:val="heading 1"/>
    <w:basedOn w:val="Normal"/>
    <w:link w:val="Ttulo1Car"/>
    <w:uiPriority w:val="9"/>
    <w:qFormat/>
    <w:rsid w:val="00C56107"/>
    <w:pPr>
      <w:spacing w:before="100" w:beforeAutospacing="1" w:after="100" w:afterAutospacing="1" w:line="240" w:lineRule="auto"/>
      <w:outlineLvl w:val="0"/>
    </w:pPr>
    <w:rPr>
      <w:rFonts w:ascii="Times New Roman" w:eastAsia="Times New Roman" w:hAnsi="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5373"/>
    <w:pPr>
      <w:ind w:left="720"/>
      <w:contextualSpacing/>
    </w:pPr>
  </w:style>
  <w:style w:type="paragraph" w:styleId="Encabezado">
    <w:name w:val="header"/>
    <w:basedOn w:val="Normal"/>
    <w:link w:val="EncabezadoCar"/>
    <w:uiPriority w:val="99"/>
    <w:rsid w:val="00F153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373"/>
    <w:rPr>
      <w:rFonts w:ascii="Calibri" w:eastAsia="Calibri" w:hAnsi="Calibri" w:cs="Times New Roman"/>
    </w:rPr>
  </w:style>
  <w:style w:type="paragraph" w:styleId="Piedepgina">
    <w:name w:val="footer"/>
    <w:basedOn w:val="Normal"/>
    <w:link w:val="PiedepginaCar"/>
    <w:uiPriority w:val="99"/>
    <w:rsid w:val="00F153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373"/>
    <w:rPr>
      <w:rFonts w:ascii="Calibri" w:eastAsia="Calibri" w:hAnsi="Calibri" w:cs="Times New Roman"/>
    </w:rPr>
  </w:style>
  <w:style w:type="paragraph" w:styleId="Sinespaciado">
    <w:name w:val="No Spacing"/>
    <w:uiPriority w:val="1"/>
    <w:qFormat/>
    <w:rsid w:val="00F15373"/>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F153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5373"/>
    <w:rPr>
      <w:rFonts w:ascii="Tahoma" w:eastAsia="Calibri" w:hAnsi="Tahoma" w:cs="Tahoma"/>
      <w:sz w:val="16"/>
      <w:szCs w:val="16"/>
    </w:rPr>
  </w:style>
  <w:style w:type="character" w:customStyle="1" w:styleId="Ttulo1Car">
    <w:name w:val="Título 1 Car"/>
    <w:basedOn w:val="Fuentedeprrafopredeter"/>
    <w:link w:val="Ttulo1"/>
    <w:uiPriority w:val="9"/>
    <w:rsid w:val="00C56107"/>
    <w:rPr>
      <w:rFonts w:ascii="Times New Roman" w:eastAsia="Times New Roman" w:hAnsi="Times New Roman" w:cs="Times New Roman"/>
      <w:b/>
      <w:bCs/>
      <w:kern w:val="36"/>
      <w:sz w:val="48"/>
      <w:szCs w:val="48"/>
      <w:lang w:eastAsia="es-MX"/>
    </w:rPr>
  </w:style>
</w:styles>
</file>

<file path=word/webSettings.xml><?xml version="1.0" encoding="utf-8"?>
<w:webSettings xmlns:r="http://schemas.openxmlformats.org/officeDocument/2006/relationships" xmlns:w="http://schemas.openxmlformats.org/wordprocessingml/2006/main">
  <w:divs>
    <w:div w:id="257257732">
      <w:bodyDiv w:val="1"/>
      <w:marLeft w:val="0"/>
      <w:marRight w:val="0"/>
      <w:marTop w:val="0"/>
      <w:marBottom w:val="0"/>
      <w:divBdr>
        <w:top w:val="none" w:sz="0" w:space="0" w:color="auto"/>
        <w:left w:val="none" w:sz="0" w:space="0" w:color="auto"/>
        <w:bottom w:val="none" w:sz="0" w:space="0" w:color="auto"/>
        <w:right w:val="none" w:sz="0" w:space="0" w:color="auto"/>
      </w:divBdr>
    </w:div>
    <w:div w:id="1061249837">
      <w:bodyDiv w:val="1"/>
      <w:marLeft w:val="0"/>
      <w:marRight w:val="0"/>
      <w:marTop w:val="0"/>
      <w:marBottom w:val="0"/>
      <w:divBdr>
        <w:top w:val="none" w:sz="0" w:space="0" w:color="auto"/>
        <w:left w:val="none" w:sz="0" w:space="0" w:color="auto"/>
        <w:bottom w:val="none" w:sz="0" w:space="0" w:color="auto"/>
        <w:right w:val="none" w:sz="0" w:space="0" w:color="auto"/>
      </w:divBdr>
    </w:div>
    <w:div w:id="1247496561">
      <w:bodyDiv w:val="1"/>
      <w:marLeft w:val="0"/>
      <w:marRight w:val="0"/>
      <w:marTop w:val="0"/>
      <w:marBottom w:val="0"/>
      <w:divBdr>
        <w:top w:val="none" w:sz="0" w:space="0" w:color="auto"/>
        <w:left w:val="none" w:sz="0" w:space="0" w:color="auto"/>
        <w:bottom w:val="none" w:sz="0" w:space="0" w:color="auto"/>
        <w:right w:val="none" w:sz="0" w:space="0" w:color="auto"/>
      </w:divBdr>
    </w:div>
    <w:div w:id="1323119543">
      <w:bodyDiv w:val="1"/>
      <w:marLeft w:val="0"/>
      <w:marRight w:val="0"/>
      <w:marTop w:val="0"/>
      <w:marBottom w:val="0"/>
      <w:divBdr>
        <w:top w:val="none" w:sz="0" w:space="0" w:color="auto"/>
        <w:left w:val="none" w:sz="0" w:space="0" w:color="auto"/>
        <w:bottom w:val="none" w:sz="0" w:space="0" w:color="auto"/>
        <w:right w:val="none" w:sz="0" w:space="0" w:color="auto"/>
      </w:divBdr>
    </w:div>
    <w:div w:id="202049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B8EBD-A913-4268-8BD6-D0B29625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7</Pages>
  <Words>1846</Words>
  <Characters>10158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Auxiliar Evaluacin</dc:creator>
  <cp:lastModifiedBy>Auxiliar Evaluacin</cp:lastModifiedBy>
  <cp:revision>43</cp:revision>
  <cp:lastPrinted>2015-02-19T20:44:00Z</cp:lastPrinted>
  <dcterms:created xsi:type="dcterms:W3CDTF">2015-07-06T16:31:00Z</dcterms:created>
  <dcterms:modified xsi:type="dcterms:W3CDTF">2016-01-15T22:12:00Z</dcterms:modified>
</cp:coreProperties>
</file>