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5" w:rsidRPr="0027758C" w:rsidRDefault="00D51D55" w:rsidP="00D51D55">
      <w:pPr>
        <w:jc w:val="center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D51D55" w:rsidRPr="0027758C" w:rsidRDefault="00110C28" w:rsidP="00D51D5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XXI AYUNTAMIENTO DE TECATE</w:t>
      </w:r>
    </w:p>
    <w:p w:rsidR="000976D9" w:rsidRPr="0027758C" w:rsidRDefault="008E69B8" w:rsidP="000976D9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2DA</w:t>
      </w:r>
      <w:r w:rsidR="000976D9" w:rsidRPr="0027758C">
        <w:rPr>
          <w:rFonts w:asciiTheme="minorHAnsi" w:hAnsiTheme="minorHAnsi" w:cstheme="minorHAnsi"/>
          <w:b/>
          <w:szCs w:val="20"/>
        </w:rPr>
        <w:t>. EVALUACIÓN 2015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2D259C" w:rsidRPr="0027758C" w:rsidRDefault="002D259C" w:rsidP="00FC7B1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incorporar todas las unidades administrativas u órganos que forman parte de los sujetos obligados, toda vez que en la paramunicipal INMUJER Se encontró solo un área administrativa denominada comisario y que a su vez está roto el vínculo al documento, así también para IMJUVET que solo se encontró un área administrativa. </w:t>
      </w:r>
    </w:p>
    <w:p w:rsidR="00FA4143" w:rsidRPr="0027758C" w:rsidRDefault="00FA4143" w:rsidP="00FC7B1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</w:t>
      </w:r>
      <w:r w:rsidR="00A30BC0" w:rsidRPr="0027758C">
        <w:rPr>
          <w:rFonts w:asciiTheme="minorHAnsi" w:hAnsiTheme="minorHAnsi" w:cstheme="minorHAnsi"/>
          <w:szCs w:val="20"/>
        </w:rPr>
        <w:t>recomienda</w:t>
      </w:r>
      <w:r w:rsidRPr="0027758C">
        <w:rPr>
          <w:rFonts w:asciiTheme="minorHAnsi" w:hAnsiTheme="minorHAnsi" w:cstheme="minorHAnsi"/>
          <w:szCs w:val="20"/>
        </w:rPr>
        <w:t xml:space="preserve"> publicar los indicadores</w:t>
      </w:r>
      <w:r w:rsidR="008712FE" w:rsidRPr="0027758C">
        <w:rPr>
          <w:rFonts w:asciiTheme="minorHAnsi" w:hAnsiTheme="minorHAnsi" w:cstheme="minorHAnsi"/>
          <w:szCs w:val="20"/>
        </w:rPr>
        <w:t xml:space="preserve"> de </w:t>
      </w:r>
      <w:r w:rsidR="00D63126" w:rsidRPr="0027758C">
        <w:rPr>
          <w:rFonts w:asciiTheme="minorHAnsi" w:hAnsiTheme="minorHAnsi" w:cstheme="minorHAnsi"/>
          <w:szCs w:val="20"/>
        </w:rPr>
        <w:t>gestión</w:t>
      </w:r>
      <w:r w:rsidRPr="0027758C">
        <w:rPr>
          <w:rFonts w:asciiTheme="minorHAnsi" w:hAnsiTheme="minorHAnsi" w:cstheme="minorHAnsi"/>
          <w:szCs w:val="20"/>
        </w:rPr>
        <w:t xml:space="preserve"> implementados para el ejercicio </w:t>
      </w:r>
      <w:r w:rsidR="002D259C" w:rsidRPr="0027758C">
        <w:rPr>
          <w:rFonts w:asciiTheme="minorHAnsi" w:hAnsiTheme="minorHAnsi" w:cstheme="minorHAnsi"/>
          <w:szCs w:val="20"/>
        </w:rPr>
        <w:t>2015</w:t>
      </w:r>
      <w:r w:rsidR="00662D8B" w:rsidRPr="0027758C">
        <w:rPr>
          <w:rFonts w:asciiTheme="minorHAnsi" w:hAnsiTheme="minorHAnsi" w:cstheme="minorHAnsi"/>
          <w:szCs w:val="20"/>
        </w:rPr>
        <w:t>.</w:t>
      </w:r>
    </w:p>
    <w:p w:rsidR="00DA1E5D" w:rsidRPr="0027758C" w:rsidRDefault="00DA1E5D" w:rsidP="00FC4FE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D82AD9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II.- Su estructura orgánica;</w:t>
      </w:r>
      <w:r w:rsidR="00EF548D" w:rsidRPr="0027758C">
        <w:rPr>
          <w:rFonts w:asciiTheme="minorHAnsi" w:hAnsiTheme="minorHAnsi" w:cstheme="minorHAnsi"/>
          <w:b/>
          <w:szCs w:val="20"/>
        </w:rPr>
        <w:t xml:space="preserve"> </w:t>
      </w:r>
    </w:p>
    <w:p w:rsidR="001A1CEE" w:rsidRPr="0027758C" w:rsidRDefault="00154771" w:rsidP="00B4639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incorporar en </w:t>
      </w:r>
      <w:r w:rsidR="00917E34" w:rsidRPr="0027758C">
        <w:rPr>
          <w:rFonts w:asciiTheme="minorHAnsi" w:hAnsiTheme="minorHAnsi" w:cstheme="minorHAnsi"/>
          <w:szCs w:val="20"/>
        </w:rPr>
        <w:t>l</w:t>
      </w:r>
      <w:r w:rsidR="00917E34" w:rsidRPr="0027758C">
        <w:t>a estructura orgánica del XXI Ayuntamiento de Tecate</w:t>
      </w:r>
      <w:r w:rsidR="00917E34" w:rsidRPr="0027758C">
        <w:rPr>
          <w:rFonts w:asciiTheme="minorHAnsi" w:hAnsiTheme="minorHAnsi" w:cstheme="minorHAnsi"/>
          <w:szCs w:val="20"/>
        </w:rPr>
        <w:t>,</w:t>
      </w:r>
      <w:r w:rsidRPr="0027758C">
        <w:rPr>
          <w:rFonts w:asciiTheme="minorHAnsi" w:hAnsiTheme="minorHAnsi" w:cstheme="minorHAnsi"/>
          <w:szCs w:val="20"/>
        </w:rPr>
        <w:t xml:space="preserve"> </w:t>
      </w:r>
      <w:r w:rsidR="005F0F4B" w:rsidRPr="0027758C">
        <w:rPr>
          <w:rFonts w:asciiTheme="minorHAnsi" w:hAnsiTheme="minorHAnsi" w:cstheme="minorHAnsi"/>
          <w:szCs w:val="20"/>
        </w:rPr>
        <w:t>el nombre correcto del IMPLADEM (Instituto de Planeación del Desarrollo Municipal), toda vez que se encontró el nombre de la paramunicipal COPLADEM</w:t>
      </w:r>
      <w:r w:rsidR="0079132E" w:rsidRPr="0027758C">
        <w:rPr>
          <w:rFonts w:asciiTheme="minorHAnsi" w:hAnsiTheme="minorHAnsi" w:cstheme="minorHAnsi"/>
          <w:szCs w:val="20"/>
        </w:rPr>
        <w:t xml:space="preserve"> (Comité de Planeación del Desarrollo Municipal)</w:t>
      </w:r>
      <w:r w:rsidR="005F0F4B" w:rsidRPr="0027758C">
        <w:rPr>
          <w:rFonts w:asciiTheme="minorHAnsi" w:hAnsiTheme="minorHAnsi" w:cstheme="minorHAnsi"/>
          <w:szCs w:val="20"/>
        </w:rPr>
        <w:t>.</w:t>
      </w:r>
    </w:p>
    <w:p w:rsidR="001A1CEE" w:rsidRPr="0027758C" w:rsidRDefault="00987036" w:rsidP="00B4639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Se recomienda incluir en los organigramas el mismo número de puestos reportados en la fracción VI de este mismo artículo.</w:t>
      </w:r>
    </w:p>
    <w:p w:rsidR="006074AE" w:rsidRPr="0027758C" w:rsidRDefault="006074AE" w:rsidP="006074AE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074AE" w:rsidRPr="0027758C" w:rsidRDefault="006074AE" w:rsidP="006074AE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27758C">
        <w:t xml:space="preserve">Se recomienda publicar y revisar toda la información curricular de los puestos de coordinadores y jefes de departamento, toda vez que se encontró en la revisión funcionarios públicos, Erika Cassio González Jefe de Dpto. Administrativo de INMUJER, quien no se  encuentran en las fracciones II y VI,   Claudia Zuñiga Hernandez del Dpto. Capacitación y Desarrollo de la Mujer no se  encuentran en las fracción II y en la VI se encuentra como jefa Administrativa de INMUJER.  </w:t>
      </w:r>
    </w:p>
    <w:p w:rsidR="00934F3A" w:rsidRPr="0027758C" w:rsidRDefault="00934F3A" w:rsidP="001A1CEE">
      <w:pPr>
        <w:jc w:val="both"/>
        <w:rPr>
          <w:rFonts w:asciiTheme="minorHAnsi" w:hAnsiTheme="minorHAnsi" w:cstheme="minorHAnsi"/>
          <w:szCs w:val="20"/>
        </w:rPr>
      </w:pPr>
    </w:p>
    <w:p w:rsidR="001A1CEE" w:rsidRPr="0027758C" w:rsidRDefault="001A1CEE" w:rsidP="001A1CEE">
      <w:pPr>
        <w:jc w:val="both"/>
        <w:rPr>
          <w:rFonts w:asciiTheme="minorHAnsi" w:hAnsiTheme="minorHAnsi" w:cstheme="minorHAnsi"/>
          <w:sz w:val="18"/>
          <w:szCs w:val="20"/>
        </w:rPr>
      </w:pPr>
      <w:r w:rsidRPr="0027758C">
        <w:rPr>
          <w:rFonts w:asciiTheme="minorHAnsi" w:hAnsiTheme="minorHAnsi" w:cstheme="minorHAnsi"/>
          <w:b/>
          <w:sz w:val="18"/>
          <w:szCs w:val="20"/>
        </w:rPr>
        <w:t>*NOTA</w:t>
      </w:r>
      <w:r w:rsidRPr="0027758C">
        <w:rPr>
          <w:rFonts w:asciiTheme="minorHAnsi" w:hAnsiTheme="minorHAnsi" w:cstheme="minorHAns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6A68E1" w:rsidRPr="0027758C" w:rsidRDefault="006A68E1" w:rsidP="006A68E1">
      <w:pPr>
        <w:pStyle w:val="Sinespaciado"/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IV.- Los servicios que ofrecen, los trámites, requisitos y formatos y, en su caso, el monto de los derechos para acceder a los mismos;</w:t>
      </w:r>
    </w:p>
    <w:p w:rsidR="00EE3565" w:rsidRPr="0027758C" w:rsidRDefault="00EE3565" w:rsidP="006A68E1">
      <w:pPr>
        <w:pStyle w:val="Sinespaciado"/>
      </w:pPr>
      <w:r w:rsidRPr="0027758C">
        <w:t xml:space="preserve">No se emiten recomendaciones respecto a esta fracción.  </w:t>
      </w:r>
    </w:p>
    <w:p w:rsidR="006A68E1" w:rsidRPr="0027758C" w:rsidRDefault="006A68E1" w:rsidP="006A68E1">
      <w:pPr>
        <w:pStyle w:val="Sinespaciado"/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EF3BA6" w:rsidRPr="0027758C" w:rsidRDefault="00EF3BA6" w:rsidP="00EF3BA6">
      <w:pPr>
        <w:pStyle w:val="Sinespaciado"/>
      </w:pPr>
      <w:r w:rsidRPr="0027758C">
        <w:t xml:space="preserve">No se emiten recomendaciones respecto a esta fracción.  </w:t>
      </w:r>
    </w:p>
    <w:p w:rsidR="006A68E1" w:rsidRPr="0027758C" w:rsidRDefault="006A68E1" w:rsidP="006A68E1">
      <w:pPr>
        <w:pStyle w:val="Sinespaciado"/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964D0F" w:rsidRPr="0027758C" w:rsidRDefault="003D0848" w:rsidP="00B4639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</w:t>
      </w:r>
      <w:r w:rsidR="008A68D0" w:rsidRPr="0027758C">
        <w:rPr>
          <w:rFonts w:asciiTheme="minorHAnsi" w:hAnsiTheme="minorHAnsi" w:cstheme="minorHAnsi"/>
          <w:szCs w:val="20"/>
        </w:rPr>
        <w:t>e</w:t>
      </w:r>
      <w:r w:rsidRPr="0027758C">
        <w:rPr>
          <w:rFonts w:asciiTheme="minorHAnsi" w:hAnsiTheme="minorHAnsi" w:cstheme="minorHAnsi"/>
          <w:szCs w:val="20"/>
        </w:rPr>
        <w:t xml:space="preserve"> recomienda </w:t>
      </w:r>
      <w:r w:rsidR="00C21912" w:rsidRPr="0027758C">
        <w:rPr>
          <w:rFonts w:asciiTheme="minorHAnsi" w:hAnsiTheme="minorHAnsi" w:cstheme="minorHAnsi"/>
          <w:szCs w:val="20"/>
        </w:rPr>
        <w:t xml:space="preserve">hacer una </w:t>
      </w:r>
      <w:r w:rsidR="00972EBC" w:rsidRPr="0027758C">
        <w:rPr>
          <w:rFonts w:asciiTheme="minorHAnsi" w:hAnsiTheme="minorHAnsi" w:cstheme="minorHAnsi"/>
          <w:szCs w:val="20"/>
        </w:rPr>
        <w:t>revisión y cotejar la</w:t>
      </w:r>
      <w:r w:rsidR="00C21912" w:rsidRPr="0027758C">
        <w:rPr>
          <w:rFonts w:asciiTheme="minorHAnsi" w:hAnsiTheme="minorHAnsi" w:cstheme="minorHAnsi"/>
          <w:szCs w:val="20"/>
        </w:rPr>
        <w:t xml:space="preserve"> </w:t>
      </w:r>
      <w:r w:rsidRPr="0027758C">
        <w:rPr>
          <w:rFonts w:asciiTheme="minorHAnsi" w:hAnsiTheme="minorHAnsi" w:cstheme="minorHAnsi"/>
          <w:szCs w:val="20"/>
        </w:rPr>
        <w:t>información</w:t>
      </w:r>
      <w:r w:rsidR="00C21912" w:rsidRPr="0027758C">
        <w:rPr>
          <w:rFonts w:asciiTheme="minorHAnsi" w:hAnsiTheme="minorHAnsi" w:cstheme="minorHAnsi"/>
          <w:szCs w:val="20"/>
        </w:rPr>
        <w:t xml:space="preserve"> publicada </w:t>
      </w:r>
      <w:r w:rsidR="00972EBC" w:rsidRPr="0027758C">
        <w:rPr>
          <w:rFonts w:asciiTheme="minorHAnsi" w:hAnsiTheme="minorHAnsi" w:cstheme="minorHAnsi"/>
          <w:szCs w:val="20"/>
        </w:rPr>
        <w:t>en la fracción II</w:t>
      </w:r>
      <w:r w:rsidR="005672E4" w:rsidRPr="0027758C">
        <w:rPr>
          <w:rFonts w:asciiTheme="minorHAnsi" w:hAnsiTheme="minorHAnsi" w:cstheme="minorHAnsi"/>
          <w:szCs w:val="20"/>
        </w:rPr>
        <w:t xml:space="preserve"> y VI</w:t>
      </w:r>
      <w:r w:rsidR="00972EBC" w:rsidRPr="0027758C">
        <w:rPr>
          <w:rFonts w:asciiTheme="minorHAnsi" w:hAnsiTheme="minorHAnsi" w:cstheme="minorHAnsi"/>
          <w:szCs w:val="20"/>
        </w:rPr>
        <w:t xml:space="preserve">, </w:t>
      </w:r>
      <w:r w:rsidR="00C21912" w:rsidRPr="0027758C">
        <w:rPr>
          <w:rFonts w:asciiTheme="minorHAnsi" w:hAnsiTheme="minorHAnsi" w:cstheme="minorHAnsi"/>
          <w:szCs w:val="20"/>
        </w:rPr>
        <w:t xml:space="preserve">toda vez </w:t>
      </w:r>
      <w:r w:rsidR="00972EBC" w:rsidRPr="0027758C">
        <w:rPr>
          <w:rFonts w:asciiTheme="minorHAnsi" w:hAnsiTheme="minorHAnsi" w:cstheme="minorHAnsi"/>
          <w:szCs w:val="20"/>
        </w:rPr>
        <w:t>existen fun</w:t>
      </w:r>
      <w:r w:rsidR="00C21912" w:rsidRPr="0027758C">
        <w:rPr>
          <w:rFonts w:asciiTheme="minorHAnsi" w:hAnsiTheme="minorHAnsi" w:cstheme="minorHAnsi"/>
          <w:szCs w:val="20"/>
        </w:rPr>
        <w:t xml:space="preserve">cionarios que </w:t>
      </w:r>
      <w:r w:rsidR="00972EBC" w:rsidRPr="0027758C">
        <w:rPr>
          <w:rFonts w:asciiTheme="minorHAnsi" w:hAnsiTheme="minorHAnsi" w:cstheme="minorHAnsi"/>
          <w:szCs w:val="20"/>
        </w:rPr>
        <w:t xml:space="preserve">se reportan en esta fracción y no corresponden a los plasmados en los </w:t>
      </w:r>
      <w:r w:rsidR="005672E4" w:rsidRPr="0027758C">
        <w:rPr>
          <w:rFonts w:asciiTheme="minorHAnsi" w:hAnsiTheme="minorHAnsi" w:cstheme="minorHAnsi"/>
          <w:szCs w:val="20"/>
        </w:rPr>
        <w:t>organigramas</w:t>
      </w:r>
      <w:r w:rsidR="00972EBC" w:rsidRPr="0027758C">
        <w:rPr>
          <w:rFonts w:asciiTheme="minorHAnsi" w:hAnsiTheme="minorHAnsi" w:cstheme="minorHAnsi"/>
          <w:szCs w:val="20"/>
        </w:rPr>
        <w:t xml:space="preserve"> por ejemplo: </w:t>
      </w:r>
    </w:p>
    <w:p w:rsidR="00964D0F" w:rsidRPr="0027758C" w:rsidRDefault="00972EBC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Se informa de la existencia de una  Coordinación denominada Club Alegría presidida por la Lic. Carla Navarro Lomeli en el DIF, mas sin embargo no existe</w:t>
      </w:r>
      <w:r w:rsidR="005672E4" w:rsidRPr="0027758C">
        <w:rPr>
          <w:rFonts w:asciiTheme="minorHAnsi" w:hAnsiTheme="minorHAnsi" w:cstheme="minorHAnsi"/>
          <w:szCs w:val="20"/>
        </w:rPr>
        <w:t xml:space="preserve"> coordinación </w:t>
      </w:r>
      <w:r w:rsidRPr="0027758C">
        <w:rPr>
          <w:rFonts w:asciiTheme="minorHAnsi" w:hAnsiTheme="minorHAnsi" w:cstheme="minorHAnsi"/>
          <w:szCs w:val="20"/>
        </w:rPr>
        <w:t>en el organigrama</w:t>
      </w:r>
      <w:r w:rsidR="0027758C" w:rsidRPr="0027758C">
        <w:rPr>
          <w:rFonts w:asciiTheme="minorHAnsi" w:hAnsiTheme="minorHAnsi" w:cstheme="minorHAnsi"/>
          <w:szCs w:val="20"/>
        </w:rPr>
        <w:t>.</w:t>
      </w:r>
    </w:p>
    <w:p w:rsidR="00964D0F" w:rsidRPr="0027758C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Fracción VI </w:t>
      </w:r>
      <w:r w:rsidR="00972EBC" w:rsidRPr="0027758C">
        <w:rPr>
          <w:rFonts w:asciiTheme="minorHAnsi" w:hAnsiTheme="minorHAnsi" w:cstheme="minorHAnsi"/>
          <w:szCs w:val="20"/>
        </w:rPr>
        <w:t xml:space="preserve">Coordinador de </w:t>
      </w:r>
      <w:r w:rsidRPr="0027758C">
        <w:rPr>
          <w:rFonts w:asciiTheme="minorHAnsi" w:hAnsiTheme="minorHAnsi" w:cstheme="minorHAnsi"/>
          <w:szCs w:val="20"/>
        </w:rPr>
        <w:t>Clínica</w:t>
      </w:r>
      <w:r w:rsidR="00972EBC" w:rsidRPr="0027758C">
        <w:rPr>
          <w:rFonts w:asciiTheme="minorHAnsi" w:hAnsiTheme="minorHAnsi" w:cstheme="minorHAnsi"/>
          <w:szCs w:val="20"/>
        </w:rPr>
        <w:t xml:space="preserve"> DIF, Carlos Darwin Alonso </w:t>
      </w:r>
      <w:r w:rsidRPr="0027758C">
        <w:rPr>
          <w:rFonts w:asciiTheme="minorHAnsi" w:hAnsiTheme="minorHAnsi" w:cstheme="minorHAnsi"/>
          <w:szCs w:val="20"/>
        </w:rPr>
        <w:t>Guzmán</w:t>
      </w:r>
      <w:r w:rsidR="00972EBC" w:rsidRPr="0027758C">
        <w:rPr>
          <w:rFonts w:asciiTheme="minorHAnsi" w:hAnsiTheme="minorHAnsi" w:cstheme="minorHAnsi"/>
          <w:szCs w:val="20"/>
        </w:rPr>
        <w:t xml:space="preserve"> y en</w:t>
      </w:r>
      <w:r w:rsidRPr="0027758C">
        <w:rPr>
          <w:rFonts w:asciiTheme="minorHAnsi" w:hAnsiTheme="minorHAnsi" w:cstheme="minorHAnsi"/>
          <w:szCs w:val="20"/>
        </w:rPr>
        <w:t xml:space="preserve"> el organigrama </w:t>
      </w:r>
      <w:r w:rsidR="005672E4" w:rsidRPr="0027758C">
        <w:rPr>
          <w:rFonts w:asciiTheme="minorHAnsi" w:hAnsiTheme="minorHAnsi" w:cstheme="minorHAnsi"/>
          <w:szCs w:val="20"/>
        </w:rPr>
        <w:t>como Coordinador de Clínica DIF e</w:t>
      </w:r>
      <w:r w:rsidR="00972EBC" w:rsidRPr="0027758C">
        <w:rPr>
          <w:rFonts w:asciiTheme="minorHAnsi" w:hAnsiTheme="minorHAnsi" w:cstheme="minorHAnsi"/>
          <w:szCs w:val="20"/>
        </w:rPr>
        <w:t xml:space="preserve">l Dr. Ernesto </w:t>
      </w:r>
      <w:r w:rsidRPr="0027758C">
        <w:rPr>
          <w:rFonts w:asciiTheme="minorHAnsi" w:hAnsiTheme="minorHAnsi" w:cstheme="minorHAnsi"/>
          <w:szCs w:val="20"/>
        </w:rPr>
        <w:t>López</w:t>
      </w:r>
      <w:r w:rsidR="00972EBC" w:rsidRPr="0027758C">
        <w:rPr>
          <w:rFonts w:asciiTheme="minorHAnsi" w:hAnsiTheme="minorHAnsi" w:cstheme="minorHAnsi"/>
          <w:szCs w:val="20"/>
        </w:rPr>
        <w:t xml:space="preserve"> Arellano</w:t>
      </w:r>
      <w:r w:rsidR="0027758C" w:rsidRPr="0027758C">
        <w:rPr>
          <w:rFonts w:asciiTheme="minorHAnsi" w:hAnsiTheme="minorHAnsi" w:cstheme="minorHAnsi"/>
          <w:szCs w:val="20"/>
        </w:rPr>
        <w:t>.</w:t>
      </w:r>
    </w:p>
    <w:p w:rsidR="00964D0F" w:rsidRPr="0027758C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Fracción VI</w:t>
      </w:r>
      <w:r w:rsidR="00972EBC" w:rsidRPr="0027758C">
        <w:rPr>
          <w:rFonts w:asciiTheme="minorHAnsi" w:hAnsiTheme="minorHAnsi" w:cstheme="minorHAnsi"/>
          <w:szCs w:val="20"/>
        </w:rPr>
        <w:t xml:space="preserve"> </w:t>
      </w:r>
      <w:r w:rsidRPr="0027758C">
        <w:rPr>
          <w:rFonts w:asciiTheme="minorHAnsi" w:hAnsiTheme="minorHAnsi" w:cstheme="minorHAnsi"/>
          <w:szCs w:val="20"/>
        </w:rPr>
        <w:t>Coordinación</w:t>
      </w:r>
      <w:r w:rsidR="00972EBC" w:rsidRPr="0027758C">
        <w:rPr>
          <w:rFonts w:asciiTheme="minorHAnsi" w:hAnsiTheme="minorHAnsi" w:cstheme="minorHAnsi"/>
          <w:szCs w:val="20"/>
        </w:rPr>
        <w:t xml:space="preserve"> de Desarrollo Comunitario DIF se encuentra Mayra Teresita Acosta Vargas y en la fracción II se encuentra Gladies</w:t>
      </w:r>
      <w:r w:rsidRPr="0027758C">
        <w:rPr>
          <w:rFonts w:asciiTheme="minorHAnsi" w:hAnsiTheme="minorHAnsi" w:cstheme="minorHAnsi"/>
          <w:szCs w:val="20"/>
        </w:rPr>
        <w:t xml:space="preserve"> H.</w:t>
      </w:r>
      <w:r w:rsidR="00972EBC" w:rsidRPr="0027758C">
        <w:rPr>
          <w:rFonts w:asciiTheme="minorHAnsi" w:hAnsiTheme="minorHAnsi" w:cstheme="minorHAnsi"/>
          <w:szCs w:val="20"/>
        </w:rPr>
        <w:t xml:space="preserve"> Montiel </w:t>
      </w:r>
      <w:r w:rsidRPr="0027758C">
        <w:rPr>
          <w:rFonts w:asciiTheme="minorHAnsi" w:hAnsiTheme="minorHAnsi" w:cstheme="minorHAnsi"/>
          <w:szCs w:val="20"/>
        </w:rPr>
        <w:t>López</w:t>
      </w:r>
      <w:r w:rsidR="0027758C" w:rsidRPr="0027758C">
        <w:rPr>
          <w:rFonts w:asciiTheme="minorHAnsi" w:hAnsiTheme="minorHAnsi" w:cstheme="minorHAnsi"/>
          <w:szCs w:val="20"/>
        </w:rPr>
        <w:t>.</w:t>
      </w:r>
      <w:r w:rsidR="00972EBC" w:rsidRPr="0027758C">
        <w:rPr>
          <w:rFonts w:asciiTheme="minorHAnsi" w:hAnsiTheme="minorHAnsi" w:cstheme="minorHAnsi"/>
          <w:szCs w:val="20"/>
        </w:rPr>
        <w:t xml:space="preserve"> </w:t>
      </w:r>
    </w:p>
    <w:p w:rsidR="00972EBC" w:rsidRPr="0027758C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Fracción VI  no se encontró en el directorio el encargado de comunicación social DIF, </w:t>
      </w:r>
      <w:r w:rsidR="005672E4" w:rsidRPr="0027758C">
        <w:rPr>
          <w:rFonts w:asciiTheme="minorHAnsi" w:hAnsiTheme="minorHAnsi" w:cstheme="minorHAnsi"/>
          <w:szCs w:val="20"/>
        </w:rPr>
        <w:t>Isaías</w:t>
      </w:r>
      <w:r w:rsidRPr="0027758C">
        <w:rPr>
          <w:rFonts w:asciiTheme="minorHAnsi" w:hAnsiTheme="minorHAnsi" w:cstheme="minorHAnsi"/>
          <w:szCs w:val="20"/>
        </w:rPr>
        <w:t xml:space="preserve"> Carretero </w:t>
      </w:r>
      <w:r w:rsidR="005672E4" w:rsidRPr="0027758C">
        <w:rPr>
          <w:rFonts w:asciiTheme="minorHAnsi" w:hAnsiTheme="minorHAnsi" w:cstheme="minorHAnsi"/>
          <w:szCs w:val="20"/>
        </w:rPr>
        <w:t>Ríos</w:t>
      </w:r>
      <w:r w:rsidRPr="0027758C">
        <w:rPr>
          <w:rFonts w:asciiTheme="minorHAnsi" w:hAnsiTheme="minorHAnsi" w:cstheme="minorHAnsi"/>
          <w:szCs w:val="20"/>
        </w:rPr>
        <w:t xml:space="preserve">.  </w:t>
      </w:r>
    </w:p>
    <w:p w:rsidR="00964D0F" w:rsidRPr="0027758C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Fracción VI Jefe de Departamento Administrativo, CP. Adolfo Martinez Patatuchi, Fracción II </w:t>
      </w:r>
      <w:r w:rsidR="005672E4" w:rsidRPr="0027758C">
        <w:rPr>
          <w:rFonts w:asciiTheme="minorHAnsi" w:hAnsiTheme="minorHAnsi" w:cstheme="minorHAnsi"/>
          <w:szCs w:val="20"/>
        </w:rPr>
        <w:t xml:space="preserve">como jefa de Departamento Administrativo </w:t>
      </w:r>
      <w:r w:rsidRPr="0027758C">
        <w:rPr>
          <w:rFonts w:asciiTheme="minorHAnsi" w:hAnsiTheme="minorHAnsi" w:cstheme="minorHAnsi"/>
          <w:szCs w:val="20"/>
        </w:rPr>
        <w:t>Claudia Elena Zúñiga Hernandez.</w:t>
      </w:r>
    </w:p>
    <w:p w:rsidR="00964D0F" w:rsidRPr="0027758C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 </w:t>
      </w:r>
      <w:r w:rsidR="005672E4" w:rsidRPr="0027758C">
        <w:rPr>
          <w:rFonts w:asciiTheme="minorHAnsi" w:hAnsiTheme="minorHAnsi" w:cstheme="minorHAnsi"/>
          <w:szCs w:val="20"/>
        </w:rPr>
        <w:t>N</w:t>
      </w:r>
      <w:r w:rsidRPr="0027758C">
        <w:rPr>
          <w:rFonts w:asciiTheme="minorHAnsi" w:hAnsiTheme="minorHAnsi" w:cstheme="minorHAnsi"/>
          <w:szCs w:val="20"/>
        </w:rPr>
        <w:t xml:space="preserve">o se encontraron en el </w:t>
      </w:r>
      <w:r w:rsidR="005672E4" w:rsidRPr="0027758C">
        <w:rPr>
          <w:rFonts w:asciiTheme="minorHAnsi" w:hAnsiTheme="minorHAnsi" w:cstheme="minorHAnsi"/>
          <w:szCs w:val="20"/>
        </w:rPr>
        <w:t>D</w:t>
      </w:r>
      <w:r w:rsidRPr="0027758C">
        <w:rPr>
          <w:rFonts w:asciiTheme="minorHAnsi" w:hAnsiTheme="minorHAnsi" w:cstheme="minorHAnsi"/>
          <w:szCs w:val="20"/>
        </w:rPr>
        <w:t xml:space="preserve">irectorio </w:t>
      </w:r>
      <w:r w:rsidR="005672E4" w:rsidRPr="0027758C">
        <w:rPr>
          <w:rFonts w:asciiTheme="minorHAnsi" w:hAnsiTheme="minorHAnsi" w:cstheme="minorHAnsi"/>
          <w:szCs w:val="20"/>
        </w:rPr>
        <w:t xml:space="preserve">de INMUJER </w:t>
      </w:r>
      <w:r w:rsidRPr="0027758C">
        <w:rPr>
          <w:rFonts w:asciiTheme="minorHAnsi" w:hAnsiTheme="minorHAnsi" w:cstheme="minorHAnsi"/>
          <w:szCs w:val="20"/>
        </w:rPr>
        <w:t>las coordinaciones</w:t>
      </w:r>
      <w:r w:rsidR="005672E4" w:rsidRPr="0027758C">
        <w:rPr>
          <w:rFonts w:asciiTheme="minorHAnsi" w:hAnsiTheme="minorHAnsi" w:cstheme="minorHAnsi"/>
          <w:szCs w:val="20"/>
        </w:rPr>
        <w:t xml:space="preserve"> </w:t>
      </w:r>
      <w:r w:rsidRPr="0027758C">
        <w:rPr>
          <w:rFonts w:asciiTheme="minorHAnsi" w:hAnsiTheme="minorHAnsi" w:cstheme="minorHAnsi"/>
          <w:szCs w:val="20"/>
        </w:rPr>
        <w:t xml:space="preserve">del </w:t>
      </w:r>
      <w:r w:rsidR="005672E4" w:rsidRPr="0027758C">
        <w:rPr>
          <w:rFonts w:asciiTheme="minorHAnsi" w:hAnsiTheme="minorHAnsi" w:cstheme="minorHAnsi"/>
          <w:szCs w:val="20"/>
        </w:rPr>
        <w:t>área</w:t>
      </w:r>
      <w:r w:rsidRPr="0027758C">
        <w:rPr>
          <w:rFonts w:asciiTheme="minorHAnsi" w:hAnsiTheme="minorHAnsi" w:cstheme="minorHAnsi"/>
          <w:szCs w:val="20"/>
        </w:rPr>
        <w:t xml:space="preserve"> jurídica, </w:t>
      </w:r>
      <w:r w:rsidR="005672E4" w:rsidRPr="0027758C">
        <w:rPr>
          <w:rFonts w:asciiTheme="minorHAnsi" w:hAnsiTheme="minorHAnsi" w:cstheme="minorHAnsi"/>
          <w:szCs w:val="20"/>
        </w:rPr>
        <w:t xml:space="preserve">coordinación de Relaciones Publicas, Dpto. Atención a Víctimas de </w:t>
      </w:r>
      <w:r w:rsidR="005672E4" w:rsidRPr="0027758C">
        <w:rPr>
          <w:rFonts w:asciiTheme="minorHAnsi" w:hAnsiTheme="minorHAnsi" w:cstheme="minorHAnsi"/>
          <w:szCs w:val="20"/>
        </w:rPr>
        <w:lastRenderedPageBreak/>
        <w:t>Violencia, Dpto. Capacitación y Desarrollo de la Mujer, Jefe Desarrollo Institucional con perspectiva de Género.</w:t>
      </w:r>
      <w:r w:rsidRPr="0027758C">
        <w:rPr>
          <w:rFonts w:asciiTheme="minorHAnsi" w:hAnsiTheme="minorHAnsi" w:cstheme="minorHAnsi"/>
          <w:szCs w:val="20"/>
        </w:rPr>
        <w:t xml:space="preserve"> </w:t>
      </w:r>
    </w:p>
    <w:p w:rsidR="005672E4" w:rsidRPr="0027758C" w:rsidRDefault="005672E4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Mismas </w:t>
      </w:r>
      <w:r w:rsidR="00C82D5C" w:rsidRPr="0027758C">
        <w:rPr>
          <w:rFonts w:asciiTheme="minorHAnsi" w:hAnsiTheme="minorHAnsi" w:cstheme="minorHAnsi"/>
          <w:szCs w:val="20"/>
        </w:rPr>
        <w:t>inconsistencias fueron</w:t>
      </w:r>
      <w:r w:rsidRPr="0027758C">
        <w:rPr>
          <w:rFonts w:asciiTheme="minorHAnsi" w:hAnsiTheme="minorHAnsi" w:cstheme="minorHAnsi"/>
          <w:szCs w:val="20"/>
        </w:rPr>
        <w:t xml:space="preserve"> encontradas en </w:t>
      </w:r>
      <w:r w:rsidR="0027758C" w:rsidRPr="0027758C">
        <w:rPr>
          <w:rFonts w:asciiTheme="minorHAnsi" w:hAnsiTheme="minorHAnsi" w:cstheme="minorHAnsi"/>
          <w:szCs w:val="20"/>
        </w:rPr>
        <w:t>la información reportada</w:t>
      </w:r>
      <w:r w:rsidRPr="0027758C">
        <w:rPr>
          <w:rFonts w:asciiTheme="minorHAnsi" w:hAnsiTheme="minorHAnsi" w:cstheme="minorHAnsi"/>
          <w:szCs w:val="20"/>
        </w:rPr>
        <w:t xml:space="preserve"> en la fracción II y VI para IMDETE, INJUVET, IMPRODEUR, INPLADEM, de funcionarios reportados con diferentes nombres </w:t>
      </w:r>
      <w:r w:rsidR="00A276B4" w:rsidRPr="0027758C">
        <w:rPr>
          <w:rFonts w:asciiTheme="minorHAnsi" w:hAnsiTheme="minorHAnsi" w:cstheme="minorHAnsi"/>
          <w:szCs w:val="20"/>
        </w:rPr>
        <w:t>para ambas fracciones.</w:t>
      </w:r>
    </w:p>
    <w:p w:rsidR="003D0848" w:rsidRPr="0027758C" w:rsidRDefault="001211EF" w:rsidP="00B4639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publicar información respecto a la totalidad de funcionarios toda vez que no coincide con la totalidad de la fracción II y III de este mismo artículo. </w:t>
      </w:r>
      <w:r w:rsidR="00352B35" w:rsidRPr="0027758C">
        <w:rPr>
          <w:rFonts w:asciiTheme="minorHAnsi" w:hAnsiTheme="minorHAnsi" w:cstheme="minorHAnsi"/>
          <w:szCs w:val="20"/>
        </w:rPr>
        <w:t xml:space="preserve"> </w:t>
      </w:r>
      <w:r w:rsidR="004D270E" w:rsidRPr="0027758C">
        <w:rPr>
          <w:rFonts w:asciiTheme="minorHAnsi" w:hAnsiTheme="minorHAnsi" w:cstheme="minorHAnsi"/>
          <w:szCs w:val="20"/>
        </w:rPr>
        <w:t xml:space="preserve">   </w:t>
      </w:r>
    </w:p>
    <w:p w:rsidR="00D25801" w:rsidRPr="0027758C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VII.- Plantilla del</w:t>
      </w:r>
      <w:r w:rsidR="00110C28" w:rsidRPr="0027758C">
        <w:rPr>
          <w:rFonts w:asciiTheme="minorHAnsi" w:hAnsiTheme="minorHAnsi" w:cstheme="minorHAnsi"/>
          <w:b/>
          <w:szCs w:val="20"/>
        </w:rPr>
        <w:t xml:space="preserve"> personal</w:t>
      </w:r>
      <w:r w:rsidRPr="0027758C">
        <w:rPr>
          <w:rFonts w:asciiTheme="minorHAnsi" w:hAnsiTheme="minorHAnsi" w:cstheme="minorHAnsi"/>
          <w:b/>
          <w:szCs w:val="20"/>
        </w:rPr>
        <w:t xml:space="preserve"> 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F6AF5" w:rsidRPr="0027758C" w:rsidRDefault="00BF6AF5" w:rsidP="00B4639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publicar información homogénea entre todas las dependencias </w:t>
      </w:r>
      <w:r w:rsidR="009C7E51" w:rsidRPr="0027758C">
        <w:rPr>
          <w:rFonts w:asciiTheme="minorHAnsi" w:hAnsiTheme="minorHAnsi" w:cstheme="minorHAnsi"/>
          <w:szCs w:val="20"/>
        </w:rPr>
        <w:t>y entidades paramunicipales, tod</w:t>
      </w:r>
      <w:r w:rsidRPr="0027758C">
        <w:rPr>
          <w:rFonts w:asciiTheme="minorHAnsi" w:hAnsiTheme="minorHAnsi" w:cstheme="minorHAnsi"/>
          <w:szCs w:val="20"/>
        </w:rPr>
        <w:t>a vez que en el caso de estas últimas se omiten rubros de información que si se consideran en las primeras.</w:t>
      </w:r>
      <w:r w:rsidR="00352B35" w:rsidRPr="0027758C">
        <w:rPr>
          <w:rFonts w:asciiTheme="minorHAnsi" w:hAnsiTheme="minorHAnsi" w:cstheme="minorHAnsi"/>
          <w:szCs w:val="20"/>
        </w:rPr>
        <w:t xml:space="preserve"> </w:t>
      </w:r>
    </w:p>
    <w:p w:rsidR="001A098C" w:rsidRPr="0027758C" w:rsidRDefault="001A098C" w:rsidP="00B4639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Se recomienda publicar en el listado de la plantilla  la ciudad de adscripción.</w:t>
      </w:r>
    </w:p>
    <w:p w:rsidR="002A3397" w:rsidRPr="0027758C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B32AAC" w:rsidRPr="0027758C" w:rsidRDefault="00FA4143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 xml:space="preserve">VIII.- </w:t>
      </w:r>
      <w:r w:rsidR="00B32AAC" w:rsidRPr="0027758C">
        <w:rPr>
          <w:rFonts w:asciiTheme="minorHAnsi" w:hAnsiTheme="minorHAnsi" w:cstheme="minorHAnsi"/>
          <w:b/>
          <w:szCs w:val="20"/>
        </w:rPr>
        <w:t>Respecto del presupuesto de egresos:</w:t>
      </w:r>
    </w:p>
    <w:p w:rsidR="00B32AAC" w:rsidRPr="0027758C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B32AAC" w:rsidRPr="0027758C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840532" w:rsidRPr="0027758C" w:rsidRDefault="00E44DD9" w:rsidP="00B4639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publicar </w:t>
      </w:r>
      <w:r w:rsidR="00A10789" w:rsidRPr="0027758C">
        <w:rPr>
          <w:rFonts w:asciiTheme="minorHAnsi" w:hAnsiTheme="minorHAnsi" w:cstheme="minorHAnsi"/>
          <w:szCs w:val="20"/>
        </w:rPr>
        <w:t>l</w:t>
      </w:r>
      <w:r w:rsidR="00840532" w:rsidRPr="0027758C">
        <w:rPr>
          <w:rFonts w:asciiTheme="minorHAnsi" w:hAnsiTheme="minorHAnsi" w:cstheme="minorHAnsi"/>
          <w:szCs w:val="20"/>
        </w:rPr>
        <w:t xml:space="preserve">os informes sobre su ejecución </w:t>
      </w:r>
      <w:r w:rsidR="00D21388" w:rsidRPr="0027758C">
        <w:rPr>
          <w:rFonts w:asciiTheme="minorHAnsi" w:hAnsiTheme="minorHAnsi" w:cstheme="minorHAnsi"/>
          <w:szCs w:val="20"/>
        </w:rPr>
        <w:t xml:space="preserve">completos </w:t>
      </w:r>
      <w:r w:rsidR="00840532" w:rsidRPr="0027758C">
        <w:rPr>
          <w:rFonts w:asciiTheme="minorHAnsi" w:hAnsiTheme="minorHAnsi" w:cstheme="minorHAnsi"/>
          <w:szCs w:val="20"/>
        </w:rPr>
        <w:t xml:space="preserve"> los </w:t>
      </w:r>
      <w:r w:rsidRPr="0027758C">
        <w:rPr>
          <w:rFonts w:asciiTheme="minorHAnsi" w:hAnsiTheme="minorHAnsi" w:cstheme="minorHAnsi"/>
          <w:szCs w:val="20"/>
        </w:rPr>
        <w:t xml:space="preserve"> cuales equivalen a los </w:t>
      </w:r>
      <w:r w:rsidR="00840532" w:rsidRPr="0027758C">
        <w:rPr>
          <w:rFonts w:asciiTheme="minorHAnsi" w:hAnsiTheme="minorHAnsi" w:cstheme="minorHAnsi"/>
          <w:szCs w:val="20"/>
        </w:rPr>
        <w:t xml:space="preserve"> informes de avance de gestión financiera 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</w:t>
      </w:r>
      <w:r w:rsidR="00352B35" w:rsidRPr="0027758C">
        <w:rPr>
          <w:rFonts w:asciiTheme="minorHAnsi" w:hAnsiTheme="minorHAnsi" w:cstheme="minorHAnsi"/>
          <w:szCs w:val="20"/>
        </w:rPr>
        <w:t xml:space="preserve"> </w:t>
      </w:r>
    </w:p>
    <w:p w:rsidR="001B346E" w:rsidRPr="0027758C" w:rsidRDefault="00715B8F" w:rsidP="00B4639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 publicar la versión ciudadana del Presupuesto de Egresos, la cual deberá ser acorde a la definición registrada en la fracción XIX del artículo  3 de la Ley de Presupuesto y Ejercicio del Gasto Publico del Estado de Baja California, en  la  que  señala  </w:t>
      </w:r>
      <w:r w:rsidRPr="0027758C">
        <w:rPr>
          <w:rFonts w:asciiTheme="minorHAnsi" w:hAnsiTheme="minorHAnsi" w:cstheme="minorHAnsi"/>
          <w:szCs w:val="20"/>
        </w:rPr>
        <w:lastRenderedPageBreak/>
        <w:t>que el Presupuesto Ciudadano es el desglose explicativo e ilustrado del origen, distribución, aplicación y objetivo de los recursos públicos aprobados y asignados en los presupuestos de egresos anuales de los Sujetos Obligados</w:t>
      </w:r>
      <w:r w:rsidRPr="0027758C">
        <w:rPr>
          <w:rFonts w:asciiTheme="minorHAnsi" w:hAnsiTheme="minorHAnsi" w:cstheme="minorHAnsi"/>
          <w:b/>
          <w:szCs w:val="20"/>
        </w:rPr>
        <w:t>.</w:t>
      </w:r>
      <w:r w:rsidR="009E402E" w:rsidRPr="0027758C">
        <w:rPr>
          <w:rFonts w:asciiTheme="minorHAnsi" w:hAnsiTheme="minorHAnsi" w:cstheme="minorHAnsi"/>
          <w:b/>
          <w:szCs w:val="20"/>
        </w:rPr>
        <w:t xml:space="preserve"> </w:t>
      </w:r>
    </w:p>
    <w:p w:rsidR="00715B8F" w:rsidRPr="0027758C" w:rsidRDefault="00715B8F" w:rsidP="00B4639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  <w:r w:rsidR="001C7771" w:rsidRPr="0027758C">
        <w:rPr>
          <w:rFonts w:asciiTheme="minorHAnsi" w:hAnsiTheme="minorHAnsi" w:cstheme="minorHAnsi"/>
          <w:szCs w:val="20"/>
        </w:rPr>
        <w:t xml:space="preserve"> </w:t>
      </w:r>
    </w:p>
    <w:p w:rsidR="00074692" w:rsidRPr="0027758C" w:rsidRDefault="00074692" w:rsidP="00FF1DD1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E3195" w:rsidRPr="0027758C" w:rsidRDefault="004E3195" w:rsidP="006A68E1">
      <w:pPr>
        <w:pStyle w:val="Sinespaciado"/>
      </w:pPr>
      <w:r w:rsidRPr="0027758C">
        <w:t xml:space="preserve">No se emiten recomendaciones respecto a esta fracción.  </w:t>
      </w:r>
    </w:p>
    <w:p w:rsidR="008368E1" w:rsidRPr="0027758C" w:rsidRDefault="008368E1" w:rsidP="008368E1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8368E1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FC493F" w:rsidRPr="0027758C" w:rsidRDefault="00FC493F" w:rsidP="00B4639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publicar la información sobre los permisos otorgados por el ayuntamiento en relación a alcoholes, </w:t>
      </w:r>
      <w:r w:rsidR="00EC5DE5" w:rsidRPr="0027758C">
        <w:rPr>
          <w:rFonts w:asciiTheme="minorHAnsi" w:hAnsiTheme="minorHAnsi" w:cstheme="minorHAnsi"/>
          <w:szCs w:val="20"/>
        </w:rPr>
        <w:t>correspondientes al ejercicio fiscal en curso.</w:t>
      </w:r>
    </w:p>
    <w:p w:rsidR="00FC493F" w:rsidRPr="0027758C" w:rsidRDefault="001B59EA" w:rsidP="00B4639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publicar </w:t>
      </w:r>
      <w:r w:rsidR="00FC493F" w:rsidRPr="0027758C">
        <w:rPr>
          <w:rFonts w:asciiTheme="minorHAnsi" w:hAnsiTheme="minorHAnsi" w:cstheme="minorHAnsi"/>
          <w:szCs w:val="20"/>
        </w:rPr>
        <w:t>información sobre las concesiones.</w:t>
      </w:r>
      <w:r w:rsidR="00B10668" w:rsidRPr="0027758C">
        <w:rPr>
          <w:rFonts w:asciiTheme="minorHAnsi" w:hAnsiTheme="minorHAnsi" w:cstheme="minorHAnsi"/>
          <w:szCs w:val="20"/>
        </w:rPr>
        <w:t xml:space="preserve"> </w:t>
      </w:r>
    </w:p>
    <w:p w:rsidR="002A3397" w:rsidRPr="0027758C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95008C" w:rsidRPr="0027758C" w:rsidRDefault="0095008C" w:rsidP="006A68E1">
      <w:pPr>
        <w:pStyle w:val="Sinespaciado"/>
      </w:pPr>
      <w:r w:rsidRPr="0027758C">
        <w:t xml:space="preserve">No se emiten recomendaciones respecto a esta fracción.  </w:t>
      </w:r>
    </w:p>
    <w:p w:rsidR="006A68E1" w:rsidRPr="0027758C" w:rsidRDefault="006A68E1" w:rsidP="006A68E1">
      <w:pPr>
        <w:pStyle w:val="Sinespaciado"/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XII.- El padrón de proveedores;</w:t>
      </w:r>
    </w:p>
    <w:p w:rsidR="00DE75B1" w:rsidRPr="0027758C" w:rsidRDefault="00DE75B1" w:rsidP="00DE75B1">
      <w:pPr>
        <w:pStyle w:val="Sinespaciado"/>
      </w:pPr>
      <w:r w:rsidRPr="0027758C">
        <w:t xml:space="preserve">No se emiten recomendaciones respecto a esta fracción.  </w:t>
      </w:r>
    </w:p>
    <w:p w:rsidR="002A3397" w:rsidRPr="0027758C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457B42" w:rsidRPr="0027758C" w:rsidRDefault="00265612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Con respecto al </w:t>
      </w:r>
      <w:r w:rsidRPr="0027758C">
        <w:rPr>
          <w:rFonts w:asciiTheme="minorHAnsi" w:hAnsiTheme="minorHAnsi" w:cstheme="minorHAnsi"/>
          <w:b/>
          <w:i/>
          <w:szCs w:val="20"/>
        </w:rPr>
        <w:t>padrón inmobiliario</w:t>
      </w:r>
      <w:r w:rsidRPr="0027758C">
        <w:rPr>
          <w:rFonts w:asciiTheme="minorHAnsi" w:hAnsiTheme="minorHAnsi" w:cstheme="minorHAnsi"/>
          <w:szCs w:val="20"/>
        </w:rPr>
        <w:t xml:space="preserve"> se recomienda incorporar en los documentos la  modalidad de la posesión (propiedad, usufructo, arrendamiento, comodato, depósito o cualquier otra modalidad), así como la descripción del uso y destino de cada uno de los bienes inmuebles. </w:t>
      </w:r>
    </w:p>
    <w:p w:rsidR="00265612" w:rsidRPr="0027758C" w:rsidRDefault="00265612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 xml:space="preserve">Se recomienda incluir datos como el domicilio, colonia y delegación, calle, número y código postal. </w:t>
      </w:r>
    </w:p>
    <w:p w:rsidR="00BE2640" w:rsidRPr="0027758C" w:rsidRDefault="00BE2640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Se recomienda incorporar información de la paramunicipal INMUJER, ya que no se encontró información de ningún trimestre del año en curso y para INPLADEM solo se encontró información del 1er trimestre.</w:t>
      </w:r>
    </w:p>
    <w:p w:rsidR="00265612" w:rsidRPr="0027758C" w:rsidRDefault="00265612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lastRenderedPageBreak/>
        <w:t xml:space="preserve">Con respecto al </w:t>
      </w:r>
      <w:r w:rsidRPr="0027758C">
        <w:rPr>
          <w:rFonts w:asciiTheme="minorHAnsi" w:hAnsiTheme="minorHAnsi" w:cstheme="minorHAnsi"/>
          <w:b/>
          <w:i/>
          <w:szCs w:val="20"/>
        </w:rPr>
        <w:t>padrón vehicular</w:t>
      </w:r>
      <w:r w:rsidRPr="0027758C">
        <w:rPr>
          <w:rFonts w:asciiTheme="minorHAnsi" w:hAnsiTheme="minorHAnsi" w:cstheme="minorHAnsi"/>
          <w:szCs w:val="20"/>
        </w:rPr>
        <w:t xml:space="preserve"> se recomienda </w:t>
      </w:r>
      <w:r w:rsidR="0069555E" w:rsidRPr="0027758C">
        <w:rPr>
          <w:rFonts w:asciiTheme="minorHAnsi" w:hAnsiTheme="minorHAnsi" w:cstheme="minorHAnsi"/>
          <w:szCs w:val="20"/>
        </w:rPr>
        <w:t>publicar</w:t>
      </w:r>
      <w:r w:rsidR="008F4F37" w:rsidRPr="0027758C">
        <w:rPr>
          <w:rFonts w:asciiTheme="minorHAnsi" w:hAnsiTheme="minorHAnsi" w:cstheme="minorHAnsi"/>
          <w:szCs w:val="20"/>
        </w:rPr>
        <w:t xml:space="preserve"> para las paramunicipales</w:t>
      </w:r>
      <w:r w:rsidR="0069555E" w:rsidRPr="0027758C">
        <w:rPr>
          <w:rFonts w:asciiTheme="minorHAnsi" w:hAnsiTheme="minorHAnsi" w:cstheme="minorHAnsi"/>
          <w:szCs w:val="20"/>
        </w:rPr>
        <w:t xml:space="preserve"> los mismos rubros de información que reportan para la Administración Pública Central.</w:t>
      </w:r>
      <w:r w:rsidR="004D270E" w:rsidRPr="0027758C">
        <w:rPr>
          <w:rFonts w:asciiTheme="minorHAnsi" w:hAnsiTheme="minorHAnsi" w:cstheme="minorHAnsi"/>
          <w:szCs w:val="20"/>
        </w:rPr>
        <w:t xml:space="preserve">           </w:t>
      </w:r>
      <w:r w:rsidRPr="0027758C">
        <w:rPr>
          <w:rFonts w:asciiTheme="minorHAnsi" w:hAnsiTheme="minorHAnsi" w:cstheme="minorHAnsi"/>
          <w:szCs w:val="20"/>
        </w:rPr>
        <w:t xml:space="preserve"> </w:t>
      </w:r>
    </w:p>
    <w:p w:rsidR="002A3397" w:rsidRPr="0027758C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1E216E" w:rsidRPr="0027758C" w:rsidRDefault="001E216E" w:rsidP="006A68E1">
      <w:pPr>
        <w:pStyle w:val="Sinespaciado"/>
      </w:pPr>
      <w:r w:rsidRPr="0027758C">
        <w:t xml:space="preserve">No se emiten recomendaciones respecto a esta fracción.  </w:t>
      </w:r>
    </w:p>
    <w:p w:rsidR="00934F3A" w:rsidRPr="0027758C" w:rsidRDefault="00934F3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C90B99" w:rsidRPr="0027758C" w:rsidRDefault="00C90B99" w:rsidP="00B46399">
      <w:pPr>
        <w:pStyle w:val="Sinespaciado"/>
        <w:numPr>
          <w:ilvl w:val="0"/>
          <w:numId w:val="16"/>
        </w:numPr>
      </w:pPr>
      <w:r w:rsidRPr="0027758C">
        <w:t>Se recomienda publicar en el listado, los montos asignados descritos en el presupuesto de Egresos 2015</w:t>
      </w:r>
      <w:r w:rsidR="0027758C" w:rsidRPr="0027758C">
        <w:t>,</w:t>
      </w:r>
    </w:p>
    <w:p w:rsidR="00C90B99" w:rsidRPr="0027758C" w:rsidRDefault="00C90B99" w:rsidP="00B46399">
      <w:pPr>
        <w:pStyle w:val="Sinespaciado"/>
        <w:numPr>
          <w:ilvl w:val="0"/>
          <w:numId w:val="16"/>
        </w:numPr>
      </w:pPr>
      <w:r w:rsidRPr="0027758C">
        <w:t>Trámites para acceder a ellos (proceso a seguir para solicitar el apoyo)</w:t>
      </w:r>
      <w:r w:rsidR="0027758C" w:rsidRPr="0027758C">
        <w:t>,</w:t>
      </w:r>
    </w:p>
    <w:p w:rsidR="00C90B99" w:rsidRPr="0027758C" w:rsidRDefault="00C90B99" w:rsidP="00B46399">
      <w:pPr>
        <w:pStyle w:val="Sinespaciado"/>
        <w:numPr>
          <w:ilvl w:val="0"/>
          <w:numId w:val="16"/>
        </w:numPr>
      </w:pPr>
      <w:r w:rsidRPr="0027758C">
        <w:t>Formatos que deberán llenar, y</w:t>
      </w:r>
    </w:p>
    <w:p w:rsidR="00C90B99" w:rsidRPr="0027758C" w:rsidRDefault="00C90B99" w:rsidP="00B46399">
      <w:pPr>
        <w:pStyle w:val="Sinespaciado"/>
        <w:numPr>
          <w:ilvl w:val="0"/>
          <w:numId w:val="16"/>
        </w:numPr>
      </w:pPr>
      <w:r w:rsidRPr="0027758C">
        <w:t xml:space="preserve">Al menos una alternativa de contacto para obtener información (dirección, teléfono, correo electrónico).  </w:t>
      </w:r>
    </w:p>
    <w:p w:rsidR="008F4F37" w:rsidRPr="0027758C" w:rsidRDefault="008F4F37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C90B99" w:rsidRPr="0027758C" w:rsidRDefault="00C90B99" w:rsidP="00C90B99">
      <w:pPr>
        <w:pStyle w:val="Sinespaciado"/>
      </w:pPr>
      <w:r w:rsidRPr="0027758C">
        <w:t xml:space="preserve">No se emiten recomendaciones respecto a esta fracción.  </w:t>
      </w:r>
    </w:p>
    <w:p w:rsidR="00DA1E5D" w:rsidRPr="0027758C" w:rsidRDefault="00DA1E5D" w:rsidP="007C37BC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7C37BC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4E55BA" w:rsidRPr="0027758C" w:rsidRDefault="004E55BA" w:rsidP="00B46399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Cs w:val="20"/>
        </w:rPr>
      </w:pPr>
      <w:r w:rsidRPr="0027758C">
        <w:rPr>
          <w:rFonts w:asciiTheme="minorHAnsi" w:hAnsiTheme="minorHAnsi" w:cstheme="minorHAnsi"/>
          <w:szCs w:val="20"/>
        </w:rPr>
        <w:t>Se recomienda incluir las convocatorias a concurso de concesiones, adquisiciones, enajenaciones, arrendamie</w:t>
      </w:r>
      <w:r w:rsidR="003651B3" w:rsidRPr="0027758C">
        <w:rPr>
          <w:rFonts w:asciiTheme="minorHAnsi" w:hAnsiTheme="minorHAnsi" w:cstheme="minorHAnsi"/>
          <w:szCs w:val="20"/>
        </w:rPr>
        <w:t xml:space="preserve">ntos y prestación de servicios (adicionalmente </w:t>
      </w:r>
      <w:r w:rsidRPr="0027758C">
        <w:rPr>
          <w:rFonts w:asciiTheme="minorHAnsi" w:hAnsiTheme="minorHAnsi" w:cstheme="minorHAnsi"/>
          <w:szCs w:val="20"/>
        </w:rPr>
        <w:t>a lo que se publica en la fracción</w:t>
      </w:r>
      <w:r w:rsidR="003651B3" w:rsidRPr="0027758C">
        <w:rPr>
          <w:rFonts w:asciiTheme="minorHAnsi" w:hAnsiTheme="minorHAnsi" w:cstheme="minorHAnsi"/>
          <w:szCs w:val="20"/>
        </w:rPr>
        <w:t>).</w:t>
      </w:r>
      <w:r w:rsidRPr="0027758C">
        <w:t xml:space="preserve"> </w:t>
      </w:r>
    </w:p>
    <w:p w:rsidR="004E55BA" w:rsidRPr="0027758C" w:rsidRDefault="004E55BA" w:rsidP="00B46399">
      <w:pPr>
        <w:pStyle w:val="Prrafodelista"/>
        <w:numPr>
          <w:ilvl w:val="0"/>
          <w:numId w:val="11"/>
        </w:numPr>
        <w:jc w:val="both"/>
      </w:pPr>
      <w:r w:rsidRPr="0027758C">
        <w:t>Una vez concluidos los procesos se recomienda publicar para cada una de estas los siguientes datos: La justificación técnica y financiera;</w:t>
      </w:r>
      <w:r w:rsidR="00904B60" w:rsidRPr="0027758C">
        <w:t xml:space="preserve"> </w:t>
      </w:r>
    </w:p>
    <w:p w:rsidR="004E55BA" w:rsidRPr="0027758C" w:rsidRDefault="004E55BA" w:rsidP="00B46399">
      <w:pPr>
        <w:pStyle w:val="Prrafodelista"/>
        <w:numPr>
          <w:ilvl w:val="0"/>
          <w:numId w:val="11"/>
        </w:numPr>
        <w:jc w:val="both"/>
      </w:pPr>
      <w:r w:rsidRPr="0027758C">
        <w:lastRenderedPageBreak/>
        <w:t xml:space="preserve">Número de Identificación precisa del contrato, el monto, el nombre o razón social de la persona física o moral con quien se haya celebrado el contrato, el plazo y demás condiciones de cumplimiento; y  </w:t>
      </w:r>
    </w:p>
    <w:p w:rsidR="004E55BA" w:rsidRPr="0027758C" w:rsidRDefault="004E55BA" w:rsidP="00B46399">
      <w:pPr>
        <w:pStyle w:val="Prrafodelista"/>
        <w:numPr>
          <w:ilvl w:val="0"/>
          <w:numId w:val="11"/>
        </w:numPr>
        <w:jc w:val="both"/>
      </w:pPr>
      <w:r w:rsidRPr="0027758C">
        <w:t xml:space="preserve">En su caso, las modificaciones a las condiciones originales del contrato. </w:t>
      </w:r>
    </w:p>
    <w:p w:rsidR="00DA1E5D" w:rsidRPr="0027758C" w:rsidRDefault="00DA1E5D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071123" w:rsidRPr="0027758C" w:rsidRDefault="00071123" w:rsidP="00071123">
      <w:pPr>
        <w:pStyle w:val="Sinespaciado"/>
      </w:pPr>
      <w:r w:rsidRPr="0027758C">
        <w:t>Se recomienda publicar para la Paramunicipal INPRODEUR en términos de lo señalado en el artículo 38 y 39 de la Ley de Adquisiciones, Arrendamientos y Servicios del Estado de Baja California:</w:t>
      </w:r>
    </w:p>
    <w:p w:rsidR="00071123" w:rsidRPr="0027758C" w:rsidRDefault="00071123" w:rsidP="00071123">
      <w:pPr>
        <w:pStyle w:val="Sinespaciado"/>
      </w:pPr>
    </w:p>
    <w:p w:rsidR="00071123" w:rsidRPr="0027758C" w:rsidRDefault="00071123" w:rsidP="00B46399">
      <w:pPr>
        <w:pStyle w:val="Sinespaciado"/>
        <w:numPr>
          <w:ilvl w:val="0"/>
          <w:numId w:val="17"/>
        </w:numPr>
      </w:pPr>
      <w:r w:rsidRPr="0027758C">
        <w:t>Fecha de contrato</w:t>
      </w:r>
      <w:r w:rsidR="0027758C" w:rsidRPr="0027758C">
        <w:t>,</w:t>
      </w:r>
    </w:p>
    <w:p w:rsidR="00071123" w:rsidRPr="0027758C" w:rsidRDefault="00071123" w:rsidP="00B46399">
      <w:pPr>
        <w:pStyle w:val="Sinespaciado"/>
        <w:numPr>
          <w:ilvl w:val="0"/>
          <w:numId w:val="17"/>
        </w:numPr>
      </w:pPr>
      <w:r w:rsidRPr="0027758C">
        <w:t>Motivos y fundamentos legales aplicados</w:t>
      </w:r>
      <w:r w:rsidR="0027758C" w:rsidRPr="0027758C">
        <w:t>,</w:t>
      </w:r>
    </w:p>
    <w:p w:rsidR="00071123" w:rsidRPr="0027758C" w:rsidRDefault="00071123" w:rsidP="00B46399">
      <w:pPr>
        <w:pStyle w:val="Sinespaciado"/>
        <w:numPr>
          <w:ilvl w:val="0"/>
          <w:numId w:val="17"/>
        </w:numPr>
      </w:pPr>
      <w:r w:rsidRPr="0027758C">
        <w:t>Nombre de persona física o moral adjudicada</w:t>
      </w:r>
      <w:r w:rsidR="0027758C" w:rsidRPr="0027758C">
        <w:t>,</w:t>
      </w:r>
    </w:p>
    <w:p w:rsidR="00071123" w:rsidRPr="0027758C" w:rsidRDefault="00071123" w:rsidP="00B46399">
      <w:pPr>
        <w:pStyle w:val="Sinespaciado"/>
        <w:numPr>
          <w:ilvl w:val="0"/>
          <w:numId w:val="17"/>
        </w:numPr>
      </w:pPr>
      <w:r w:rsidRPr="0027758C">
        <w:t>Monto y plazo de entrega de los bienes o de ejecución de los servicios u obra</w:t>
      </w:r>
      <w:r w:rsidR="0027758C" w:rsidRPr="0027758C">
        <w:t>.</w:t>
      </w:r>
    </w:p>
    <w:p w:rsidR="00934F3A" w:rsidRPr="0027758C" w:rsidRDefault="00934F3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16295" w:rsidRPr="0027758C" w:rsidRDefault="00D16295" w:rsidP="00B46399">
      <w:pPr>
        <w:pStyle w:val="Sinespaciado"/>
        <w:numPr>
          <w:ilvl w:val="0"/>
          <w:numId w:val="18"/>
        </w:numPr>
      </w:pPr>
      <w:r w:rsidRPr="0027758C">
        <w:t>Se recomienda actualizar la información correspondiente a los contratos de Servicios Profesionales de las Paramunicipales, toda vez que los documentos que se encuentran en la fracción corresponden al periodo fiscal 2014.</w:t>
      </w:r>
    </w:p>
    <w:p w:rsidR="00D16295" w:rsidRPr="0027758C" w:rsidRDefault="00D16295" w:rsidP="00B46399">
      <w:pPr>
        <w:pStyle w:val="Sinespaciado"/>
        <w:numPr>
          <w:ilvl w:val="0"/>
          <w:numId w:val="18"/>
        </w:numPr>
      </w:pPr>
      <w:r w:rsidRPr="0027758C">
        <w:t>Se recomienda publicar para las Paramunicipales un listado que relaciones, numero de contrato, su fecha de celebración, el nombre o razón social del proveedor, el objeto del contrato, y el monto del valor total de la contratación.</w:t>
      </w:r>
    </w:p>
    <w:p w:rsidR="00071123" w:rsidRPr="0027758C" w:rsidRDefault="00D16295" w:rsidP="006A68E1">
      <w:pPr>
        <w:pStyle w:val="Sinespaciado"/>
      </w:pPr>
      <w:r w:rsidRPr="0027758C">
        <w:t xml:space="preserve"> </w:t>
      </w: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27758C">
        <w:rPr>
          <w:rFonts w:asciiTheme="minorHAnsi" w:hAnsiTheme="minorHAnsi" w:cstheme="minorHAnsi"/>
          <w:b/>
          <w:color w:val="000000" w:themeColor="text1"/>
          <w:szCs w:val="20"/>
        </w:rPr>
        <w:t>XX.- El domicilio, número telefónico y la dirección electrónica de la Unidad de Transparencia, así como del Órgano Garante;</w:t>
      </w:r>
    </w:p>
    <w:p w:rsidR="009C5819" w:rsidRPr="0027758C" w:rsidRDefault="009C5819" w:rsidP="006A68E1">
      <w:pPr>
        <w:pStyle w:val="Sinespaciado"/>
      </w:pPr>
      <w:r w:rsidRPr="0027758C">
        <w:t xml:space="preserve">No se emiten recomendaciones respecto a esta fracción.  </w:t>
      </w:r>
    </w:p>
    <w:p w:rsidR="006A68E1" w:rsidRPr="0027758C" w:rsidRDefault="006A68E1" w:rsidP="006A68E1">
      <w:pPr>
        <w:pStyle w:val="Sinespaciado"/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9C5819" w:rsidRPr="0027758C" w:rsidRDefault="009C5819" w:rsidP="006A68E1">
      <w:pPr>
        <w:pStyle w:val="Sinespaciado"/>
      </w:pPr>
      <w:r w:rsidRPr="0027758C">
        <w:t xml:space="preserve">No se emiten recomendaciones respecto a esta fracción.  </w:t>
      </w:r>
    </w:p>
    <w:p w:rsidR="006A68E1" w:rsidRPr="0027758C" w:rsidRDefault="006A68E1" w:rsidP="006A68E1">
      <w:pPr>
        <w:pStyle w:val="Sinespaciado"/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9C5819" w:rsidRPr="0027758C" w:rsidRDefault="009C5819" w:rsidP="006A68E1">
      <w:pPr>
        <w:pStyle w:val="Sinespaciado"/>
      </w:pPr>
      <w:r w:rsidRPr="0027758C">
        <w:t xml:space="preserve">No se emiten recomendaciones respecto a esta fracción.  </w:t>
      </w:r>
    </w:p>
    <w:p w:rsidR="006A68E1" w:rsidRPr="0027758C" w:rsidRDefault="006A68E1" w:rsidP="006A68E1">
      <w:pPr>
        <w:pStyle w:val="Sinespaciado"/>
      </w:pPr>
    </w:p>
    <w:p w:rsidR="00271D13" w:rsidRPr="0027758C" w:rsidRDefault="00271D13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lastRenderedPageBreak/>
        <w:t>XXIII.- Los dictámenes de las auditorías que se practiquen a los sujetos obligados;</w:t>
      </w:r>
    </w:p>
    <w:p w:rsidR="00491217" w:rsidRPr="0027758C" w:rsidRDefault="00491217" w:rsidP="00491217">
      <w:pPr>
        <w:pStyle w:val="Sinespaciado"/>
      </w:pPr>
      <w:r w:rsidRPr="0027758C">
        <w:t xml:space="preserve">Se recomienda publicar los informes de resultados de la Cuenta Publica dictaminadas por el Congreso del Estado, (Órgano de Fiscalización del Estado de Baja California) los cuales se encuentran disponibles  </w:t>
      </w:r>
      <w:hyperlink r:id="rId8" w:history="1">
        <w:r w:rsidRPr="0027758C">
          <w:rPr>
            <w:rStyle w:val="Hipervnculo"/>
          </w:rPr>
          <w:t>http://www.ofsbc.gob.mx/ArchivosInternet%5C7657774735-AYTO%20TECATE%202012.pdf</w:t>
        </w:r>
      </w:hyperlink>
      <w:r w:rsidRPr="0027758C">
        <w:t xml:space="preserve"> Sistema para el Desarrollo Integral de la Familia </w:t>
      </w:r>
      <w:hyperlink r:id="rId9" w:history="1">
        <w:r w:rsidRPr="0027758C">
          <w:rPr>
            <w:rStyle w:val="Hipervnculo"/>
          </w:rPr>
          <w:t>http://www.ofsbc.gob.mx/ArchivosInternet%5C8417376810-2.%20C.056%20DIF%20TKT%202012.pdf</w:t>
        </w:r>
      </w:hyperlink>
      <w:r w:rsidRPr="0027758C">
        <w:t xml:space="preserve">, Instituto Municipal de la Mujer  </w:t>
      </w:r>
      <w:hyperlink r:id="rId10" w:history="1">
        <w:r w:rsidRPr="0027758C">
          <w:rPr>
            <w:rStyle w:val="Hipervnculo"/>
          </w:rPr>
          <w:t>http://www.ofsbc.gob.mx/ArchivosInternet%5C6815478262-2.%20IMMUJER%20TKT%202012.pdf</w:t>
        </w:r>
      </w:hyperlink>
    </w:p>
    <w:p w:rsidR="00491217" w:rsidRPr="0027758C" w:rsidRDefault="00491217" w:rsidP="00491217">
      <w:pPr>
        <w:pStyle w:val="Sinespaciado"/>
      </w:pPr>
      <w:r w:rsidRPr="0027758C">
        <w:t xml:space="preserve">Instituto Municipal de la Juventud  </w:t>
      </w:r>
      <w:hyperlink r:id="rId11" w:history="1">
        <w:r w:rsidRPr="0027758C">
          <w:rPr>
            <w:rStyle w:val="Hipervnculo"/>
          </w:rPr>
          <w:t>http://www.ofsbc.gob.mx/ArchivosInternet%5C1612144288-3.%20IMJUVET%20TKT%202012.pdf</w:t>
        </w:r>
      </w:hyperlink>
      <w:r w:rsidRPr="0027758C">
        <w:t xml:space="preserve">, Comité de Planeación para el Desarrollo del Municipio  </w:t>
      </w:r>
      <w:hyperlink r:id="rId12" w:history="1">
        <w:r w:rsidRPr="0027758C">
          <w:rPr>
            <w:rStyle w:val="Hipervnculo"/>
          </w:rPr>
          <w:t>http://www.ofsbc.gob.mx/ArchivosInternet%5C8170855050-COPLADEM%20TKT.pdf</w:t>
        </w:r>
      </w:hyperlink>
      <w:r w:rsidRPr="0027758C">
        <w:t xml:space="preserve">  </w:t>
      </w:r>
      <w:r w:rsidR="003C5322" w:rsidRPr="0027758C">
        <w:t>, indicando para cada uno de los informes, los siguientes datos:</w:t>
      </w:r>
    </w:p>
    <w:p w:rsidR="00271D13" w:rsidRPr="0027758C" w:rsidRDefault="00271D13" w:rsidP="00491217">
      <w:pPr>
        <w:pStyle w:val="Sinespaciado"/>
      </w:pPr>
    </w:p>
    <w:p w:rsidR="00F140C8" w:rsidRPr="0027758C" w:rsidRDefault="00F140C8" w:rsidP="00B46399">
      <w:pPr>
        <w:pStyle w:val="Sinespaciado"/>
        <w:numPr>
          <w:ilvl w:val="0"/>
          <w:numId w:val="19"/>
        </w:numPr>
      </w:pPr>
      <w:r w:rsidRPr="0027758C">
        <w:t xml:space="preserve">Unidad Administrativa Auditada, </w:t>
      </w:r>
    </w:p>
    <w:p w:rsidR="00F140C8" w:rsidRPr="0027758C" w:rsidRDefault="00F140C8" w:rsidP="00B46399">
      <w:pPr>
        <w:pStyle w:val="Sinespaciado"/>
        <w:numPr>
          <w:ilvl w:val="0"/>
          <w:numId w:val="19"/>
        </w:numPr>
      </w:pPr>
      <w:r w:rsidRPr="0027758C">
        <w:t xml:space="preserve">Periodo, </w:t>
      </w:r>
    </w:p>
    <w:p w:rsidR="00F140C8" w:rsidRPr="0027758C" w:rsidRDefault="00F140C8" w:rsidP="00B46399">
      <w:pPr>
        <w:pStyle w:val="Sinespaciado"/>
        <w:numPr>
          <w:ilvl w:val="0"/>
          <w:numId w:val="19"/>
        </w:numPr>
      </w:pPr>
      <w:r w:rsidRPr="0027758C">
        <w:t xml:space="preserve">Tipo de auditoría (integral, especifica, de programas, de desempeño, de control, de seguimiento y otras,  </w:t>
      </w:r>
    </w:p>
    <w:p w:rsidR="00F140C8" w:rsidRPr="0027758C" w:rsidRDefault="00F140C8" w:rsidP="00B46399">
      <w:pPr>
        <w:pStyle w:val="Sinespaciado"/>
        <w:numPr>
          <w:ilvl w:val="0"/>
          <w:numId w:val="19"/>
        </w:numPr>
      </w:pPr>
      <w:r w:rsidRPr="0027758C">
        <w:t xml:space="preserve">Número y tipo de observaciones, </w:t>
      </w:r>
    </w:p>
    <w:p w:rsidR="00F140C8" w:rsidRPr="0027758C" w:rsidRDefault="00F140C8" w:rsidP="00B46399">
      <w:pPr>
        <w:pStyle w:val="Sinespaciado"/>
        <w:numPr>
          <w:ilvl w:val="0"/>
          <w:numId w:val="19"/>
        </w:numPr>
      </w:pPr>
      <w:r w:rsidRPr="0027758C">
        <w:t xml:space="preserve">Observaciones solventadas, y </w:t>
      </w:r>
    </w:p>
    <w:p w:rsidR="006D1C56" w:rsidRPr="0027758C" w:rsidRDefault="00F140C8" w:rsidP="00B46399">
      <w:pPr>
        <w:pStyle w:val="Sinespaciado"/>
        <w:numPr>
          <w:ilvl w:val="0"/>
          <w:numId w:val="19"/>
        </w:numPr>
      </w:pPr>
      <w:r w:rsidRPr="0027758C">
        <w:t xml:space="preserve">Vinculo a copia íntegra del informe de auditoría o dictamen. </w:t>
      </w:r>
    </w:p>
    <w:p w:rsidR="00D25801" w:rsidRPr="0027758C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27758C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7B1388" w:rsidRPr="0027758C" w:rsidRDefault="00976805" w:rsidP="00976805">
      <w:pPr>
        <w:pStyle w:val="Sinespaciado"/>
        <w:numPr>
          <w:ilvl w:val="0"/>
          <w:numId w:val="23"/>
        </w:numPr>
        <w:rPr>
          <w:rFonts w:asciiTheme="minorHAnsi" w:hAnsiTheme="minorHAnsi" w:cstheme="minorHAnsi"/>
          <w:b/>
          <w:szCs w:val="20"/>
        </w:rPr>
      </w:pPr>
      <w:r w:rsidRPr="0027758C">
        <w:t xml:space="preserve">Con respecto a los informes de gobierno se recomienda </w:t>
      </w:r>
      <w:r w:rsidR="00B564E0" w:rsidRPr="0027758C">
        <w:t>incorporar</w:t>
      </w:r>
      <w:r w:rsidRPr="0027758C">
        <w:t xml:space="preserve"> el fundamento legal para su presentación.</w:t>
      </w:r>
    </w:p>
    <w:p w:rsidR="00054ED9" w:rsidRDefault="00054ED9" w:rsidP="005C6327">
      <w:pPr>
        <w:jc w:val="both"/>
        <w:rPr>
          <w:rFonts w:asciiTheme="minorHAnsi" w:hAnsiTheme="minorHAnsi" w:cstheme="minorHAnsi"/>
          <w:b/>
        </w:rPr>
      </w:pPr>
    </w:p>
    <w:p w:rsidR="005C6327" w:rsidRPr="0027758C" w:rsidRDefault="00FA4143" w:rsidP="005C6327">
      <w:pPr>
        <w:jc w:val="both"/>
        <w:rPr>
          <w:rFonts w:asciiTheme="minorHAnsi" w:hAnsiTheme="minorHAnsi" w:cstheme="minorHAnsi"/>
          <w:b/>
        </w:rPr>
      </w:pPr>
      <w:r w:rsidRPr="0027758C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E7F21" w:rsidRPr="0027758C" w:rsidRDefault="007E7F21" w:rsidP="007E7F21">
      <w:pPr>
        <w:pStyle w:val="Sinespaciado"/>
        <w:rPr>
          <w:rFonts w:asciiTheme="minorHAnsi" w:hAnsiTheme="minorHAnsi" w:cstheme="minorHAnsi"/>
          <w:b/>
        </w:rPr>
      </w:pPr>
      <w:r w:rsidRPr="0027758C">
        <w:t xml:space="preserve">No se emiten recomendaciones respecto a esta fracción.  </w:t>
      </w:r>
    </w:p>
    <w:p w:rsidR="00BF7E28" w:rsidRPr="0027758C" w:rsidRDefault="00BF7E28" w:rsidP="002E6385">
      <w:pPr>
        <w:jc w:val="both"/>
        <w:rPr>
          <w:rFonts w:asciiTheme="minorHAnsi" w:hAnsiTheme="minorHAnsi" w:cstheme="minorHAnsi"/>
          <w:b/>
        </w:rPr>
      </w:pPr>
    </w:p>
    <w:p w:rsidR="00FA4143" w:rsidRPr="0027758C" w:rsidRDefault="00FA4143" w:rsidP="002E6385">
      <w:pPr>
        <w:jc w:val="both"/>
        <w:rPr>
          <w:rFonts w:asciiTheme="minorHAnsi" w:hAnsiTheme="minorHAnsi" w:cstheme="minorHAnsi"/>
          <w:b/>
        </w:rPr>
      </w:pPr>
      <w:r w:rsidRPr="0027758C">
        <w:rPr>
          <w:rFonts w:asciiTheme="minorHAnsi" w:hAnsiTheme="minorHAnsi" w:cstheme="minorHAnsi"/>
          <w:b/>
        </w:rPr>
        <w:t>Artículo 17.- Además de la información que le resulte aplicable contenida en el artículo 11, los Ayuntamientos deberán dar a conocer:</w:t>
      </w:r>
    </w:p>
    <w:p w:rsidR="00934F3A" w:rsidRPr="0027758C" w:rsidRDefault="00934F3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27758C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92038" w:rsidRPr="0027758C" w:rsidRDefault="00F92038" w:rsidP="006A68E1">
      <w:pPr>
        <w:pStyle w:val="Sinespaciado"/>
      </w:pPr>
      <w:r w:rsidRPr="0027758C">
        <w:t xml:space="preserve">No se emiten recomendaciones respecto a esta fracción. </w:t>
      </w:r>
    </w:p>
    <w:p w:rsidR="0034327D" w:rsidRPr="0027758C" w:rsidRDefault="0034327D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271D13" w:rsidRPr="0027758C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27758C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27758C" w:rsidRDefault="005C6327" w:rsidP="00B463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27758C">
        <w:rPr>
          <w:rFonts w:asciiTheme="minorHAnsi" w:hAnsiTheme="minorHAnsi"/>
          <w:color w:val="000000"/>
          <w:lang w:eastAsia="es-MX"/>
        </w:rPr>
        <w:t xml:space="preserve">Se recomienda otorgar acceso a los documentos completos de las iniciativas de reglamentos o acuerdos a los que </w:t>
      </w:r>
      <w:r w:rsidR="00EE1334" w:rsidRPr="0027758C">
        <w:rPr>
          <w:rFonts w:asciiTheme="minorHAnsi" w:hAnsiTheme="minorHAnsi"/>
          <w:color w:val="000000"/>
          <w:lang w:eastAsia="es-MX"/>
        </w:rPr>
        <w:t>se hace alusión en la fracción.</w:t>
      </w:r>
      <w:r w:rsidR="001B19CD" w:rsidRPr="0027758C">
        <w:rPr>
          <w:rFonts w:asciiTheme="minorHAnsi" w:hAnsiTheme="minorHAnsi"/>
          <w:color w:val="000000"/>
          <w:lang w:eastAsia="es-MX"/>
        </w:rPr>
        <w:t xml:space="preserve"> </w:t>
      </w:r>
    </w:p>
    <w:p w:rsidR="00D25801" w:rsidRPr="0027758C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es-MX"/>
        </w:rPr>
      </w:pPr>
    </w:p>
    <w:p w:rsidR="00271D13" w:rsidRPr="0027758C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  <w:r w:rsidRPr="0027758C">
        <w:rPr>
          <w:rFonts w:asciiTheme="minorHAnsi" w:hAnsiTheme="minorHAnsi"/>
          <w:b/>
          <w:bCs/>
          <w:color w:val="000000" w:themeColor="text1"/>
          <w:lang w:eastAsia="es-MX"/>
        </w:rPr>
        <w:t xml:space="preserve">III.- </w:t>
      </w:r>
      <w:r w:rsidRPr="0027758C">
        <w:rPr>
          <w:rFonts w:asciiTheme="minorHAnsi" w:hAnsiTheme="minorHAnsi"/>
          <w:b/>
          <w:color w:val="000000" w:themeColor="text1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C22E11" w:rsidRPr="0027758C" w:rsidRDefault="00C22E1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</w:p>
    <w:p w:rsidR="00FA4143" w:rsidRPr="0027758C" w:rsidRDefault="00932FA6" w:rsidP="002E6385">
      <w:pPr>
        <w:pStyle w:val="Sinespaciado"/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rFonts w:asciiTheme="minorHAnsi" w:hAnsiTheme="minorHAnsi"/>
          <w:color w:val="000000"/>
          <w:lang w:eastAsia="es-MX"/>
        </w:rPr>
      </w:pPr>
      <w:r w:rsidRPr="0027758C">
        <w:t xml:space="preserve">Se recomienda </w:t>
      </w:r>
      <w:r w:rsidR="00A158F5" w:rsidRPr="0027758C">
        <w:t>publicar el acta de la sesión 24 realizada el 30 de marzo de 2015.</w:t>
      </w:r>
    </w:p>
    <w:p w:rsidR="00A158F5" w:rsidRPr="0027758C" w:rsidRDefault="00A158F5" w:rsidP="00A158F5">
      <w:pPr>
        <w:pStyle w:val="Sinespaciado"/>
        <w:autoSpaceDE w:val="0"/>
        <w:autoSpaceDN w:val="0"/>
        <w:adjustRightInd w:val="0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271D13" w:rsidRPr="0027758C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27758C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17A2C" w:rsidRPr="0027758C" w:rsidRDefault="00A17A2C" w:rsidP="00A17A2C">
      <w:pPr>
        <w:pStyle w:val="Sinespaciado"/>
      </w:pPr>
      <w:r w:rsidRPr="0027758C">
        <w:t xml:space="preserve">No se emiten recomendaciones respecto a esta fracción. </w:t>
      </w:r>
    </w:p>
    <w:p w:rsidR="0040742A" w:rsidRPr="0027758C" w:rsidRDefault="0040742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271D13" w:rsidRPr="0027758C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27758C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7F7E25" w:rsidRPr="0027758C" w:rsidRDefault="002E6914" w:rsidP="00B46399">
      <w:pPr>
        <w:pStyle w:val="Sinespaciado"/>
        <w:numPr>
          <w:ilvl w:val="0"/>
          <w:numId w:val="22"/>
        </w:numPr>
      </w:pPr>
      <w:r w:rsidRPr="0027758C">
        <w:t>Se recomienda publicar los ingresos por concepto de participaciones federales y estatales, así como la recaudación fiscal que se integre a la hacienda pública en el ejercicio  fiscal 2015.</w:t>
      </w:r>
      <w:r w:rsidR="007F7E25" w:rsidRPr="0027758C">
        <w:t xml:space="preserve"> </w:t>
      </w:r>
    </w:p>
    <w:p w:rsidR="00987036" w:rsidRPr="0027758C" w:rsidRDefault="00987036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27758C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27758C" w:rsidRDefault="00C1593E" w:rsidP="00B463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27758C">
        <w:rPr>
          <w:rFonts w:asciiTheme="minorHAnsi" w:hAnsiTheme="minorHAnsi"/>
          <w:color w:val="000000"/>
          <w:lang w:eastAsia="es-MX"/>
        </w:rPr>
        <w:t xml:space="preserve">Se recomienda publicar información de la totalidad de </w:t>
      </w:r>
      <w:r w:rsidR="00CA605A" w:rsidRPr="0027758C">
        <w:rPr>
          <w:rFonts w:asciiTheme="minorHAnsi" w:hAnsiTheme="minorHAnsi"/>
          <w:color w:val="000000"/>
          <w:lang w:eastAsia="es-MX"/>
        </w:rPr>
        <w:t>las</w:t>
      </w:r>
      <w:r w:rsidRPr="0027758C">
        <w:rPr>
          <w:rFonts w:asciiTheme="minorHAnsi" w:hAnsiTheme="minorHAnsi"/>
          <w:color w:val="000000"/>
          <w:lang w:eastAsia="es-MX"/>
        </w:rPr>
        <w:t xml:space="preserve"> entidades paramunicipales.</w:t>
      </w:r>
      <w:r w:rsidRPr="0027758C">
        <w:rPr>
          <w:rFonts w:asciiTheme="minorHAnsi" w:hAnsiTheme="minorHAnsi"/>
          <w:b/>
          <w:color w:val="000000"/>
          <w:lang w:eastAsia="es-MX"/>
        </w:rPr>
        <w:t xml:space="preserve"> </w:t>
      </w:r>
      <w:r w:rsidR="001B19CD" w:rsidRPr="0027758C">
        <w:rPr>
          <w:rFonts w:asciiTheme="minorHAnsi" w:hAnsiTheme="minorHAnsi"/>
          <w:b/>
          <w:color w:val="000000"/>
          <w:lang w:eastAsia="es-MX"/>
        </w:rPr>
        <w:t xml:space="preserve">      </w:t>
      </w:r>
    </w:p>
    <w:p w:rsidR="00C1593E" w:rsidRPr="0027758C" w:rsidRDefault="00C1593E" w:rsidP="00C1593E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27758C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27758C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6E1FF3" w:rsidRPr="0027758C" w:rsidRDefault="006E1FF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D634F8" w:rsidRPr="0027758C" w:rsidRDefault="00F63CF6" w:rsidP="00B463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color w:val="000000"/>
          <w:lang w:eastAsia="es-MX"/>
        </w:rPr>
        <w:t>Se recomienda publicar información</w:t>
      </w:r>
      <w:r w:rsidR="00D634F8" w:rsidRPr="0027758C">
        <w:rPr>
          <w:rFonts w:asciiTheme="minorHAnsi" w:hAnsiTheme="minorHAnsi"/>
          <w:color w:val="000000"/>
          <w:lang w:eastAsia="es-MX"/>
        </w:rPr>
        <w:t xml:space="preserve"> para todas las entidades paramunicipales.</w:t>
      </w:r>
    </w:p>
    <w:p w:rsidR="006E1FF3" w:rsidRPr="0027758C" w:rsidRDefault="00D634F8" w:rsidP="00B463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color w:val="000000"/>
          <w:lang w:eastAsia="es-MX"/>
        </w:rPr>
        <w:t>Se recomienda revisar la información proporcionada para el inventario de bienes muebles y asignación del XXI ayuntamiento de Tecate toda vez que la información que se reporta corresponde a bienes inmuebles.</w:t>
      </w:r>
    </w:p>
    <w:p w:rsidR="00934F3A" w:rsidRPr="0027758C" w:rsidRDefault="00934F3A" w:rsidP="002E6385">
      <w:pPr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27758C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27758C">
        <w:rPr>
          <w:rFonts w:asciiTheme="minorHAnsi" w:hAnsiTheme="minorHAnsi"/>
          <w:b/>
          <w:bCs/>
          <w:color w:val="000000"/>
          <w:lang w:eastAsia="es-MX"/>
        </w:rPr>
        <w:t xml:space="preserve">VIII- </w:t>
      </w:r>
      <w:r w:rsidRPr="0027758C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F63CF6" w:rsidRPr="0027758C" w:rsidRDefault="00F63CF6" w:rsidP="00F63CF6">
      <w:pPr>
        <w:pStyle w:val="Sinespaciado"/>
      </w:pPr>
      <w:r w:rsidRPr="0027758C">
        <w:t xml:space="preserve">No se emiten recomendaciones respecto a esta fracción. </w:t>
      </w:r>
    </w:p>
    <w:p w:rsidR="00143CEA" w:rsidRPr="0027758C" w:rsidRDefault="00143CEA" w:rsidP="00F63CF6">
      <w:pPr>
        <w:pStyle w:val="Sinespaciado"/>
      </w:pPr>
    </w:p>
    <w:p w:rsidR="00BF7E28" w:rsidRPr="0027758C" w:rsidRDefault="00BF7E28" w:rsidP="00F63CF6">
      <w:pPr>
        <w:pStyle w:val="Sinespaciado"/>
      </w:pPr>
    </w:p>
    <w:p w:rsidR="00A0210C" w:rsidRPr="00BF7E28" w:rsidRDefault="00BF7E28" w:rsidP="0027758C">
      <w:pPr>
        <w:pStyle w:val="Sinespaciado"/>
        <w:jc w:val="center"/>
        <w:rPr>
          <w:rFonts w:asciiTheme="minorHAnsi" w:hAnsiTheme="minorHAnsi" w:cstheme="minorHAnsi"/>
          <w:b/>
        </w:rPr>
      </w:pPr>
      <w:r w:rsidRPr="0027758C">
        <w:rPr>
          <w:rFonts w:asciiTheme="minorHAnsi" w:hAnsiTheme="minorHAnsi" w:cstheme="minorHAnsi"/>
          <w:b/>
        </w:rPr>
        <w:t>TOTAL DE RECOMENDACIONES EMITIDAS: 45</w:t>
      </w:r>
      <w:bookmarkStart w:id="0" w:name="_GoBack"/>
      <w:bookmarkEnd w:id="0"/>
    </w:p>
    <w:sectPr w:rsidR="00A0210C" w:rsidRPr="00BF7E28" w:rsidSect="00EE4910">
      <w:headerReference w:type="default" r:id="rId13"/>
      <w:footerReference w:type="default" r:id="rId14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32" w:rsidRDefault="00171C32" w:rsidP="00D35F7C">
      <w:pPr>
        <w:spacing w:after="0" w:line="240" w:lineRule="auto"/>
      </w:pPr>
      <w:r>
        <w:separator/>
      </w:r>
    </w:p>
  </w:endnote>
  <w:endnote w:type="continuationSeparator" w:id="0">
    <w:p w:rsidR="00171C32" w:rsidRDefault="00171C32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EE4910" w:rsidRPr="00FA4360" w:rsidTr="00EE4910">
      <w:tc>
        <w:tcPr>
          <w:tcW w:w="9180" w:type="dxa"/>
        </w:tcPr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EE4910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18539A">
            <w:rPr>
              <w:rFonts w:asciiTheme="majorHAnsi" w:hAnsiTheme="majorHAnsi"/>
              <w:sz w:val="16"/>
            </w:rPr>
            <w:t>18 de Junio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571AF4">
            <w:rPr>
              <w:rFonts w:asciiTheme="majorHAnsi" w:hAnsiTheme="majorHAnsi"/>
              <w:sz w:val="16"/>
            </w:rPr>
            <w:t>de 201</w:t>
          </w:r>
          <w:r w:rsidR="000C6995">
            <w:rPr>
              <w:rFonts w:asciiTheme="majorHAnsi" w:hAnsiTheme="majorHAnsi"/>
              <w:sz w:val="16"/>
            </w:rPr>
            <w:t>5</w:t>
          </w:r>
        </w:p>
        <w:p w:rsidR="00EE4910" w:rsidRPr="00FA4360" w:rsidRDefault="00EE4910" w:rsidP="00EE4910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EE4910" w:rsidRPr="00FA4360" w:rsidRDefault="00EE4910" w:rsidP="00EE4910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EE4910" w:rsidRPr="00E224B8" w:rsidRDefault="00EE4910" w:rsidP="00EE491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EE4910" w:rsidRPr="00E224B8" w:rsidRDefault="00927A0C" w:rsidP="0027758C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EE4910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F42412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EE4910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</w:t>
          </w:r>
          <w:r w:rsidR="00340ACB">
            <w:rPr>
              <w:rFonts w:asciiTheme="majorHAnsi" w:hAnsiTheme="majorHAnsi"/>
              <w:b/>
              <w:noProof/>
              <w:sz w:val="18"/>
              <w:szCs w:val="18"/>
            </w:rPr>
            <w:t xml:space="preserve"> </w:t>
          </w:r>
          <w:r w:rsidR="0027758C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</w:p>
      </w:tc>
    </w:tr>
  </w:tbl>
  <w:p w:rsidR="00EE4910" w:rsidRPr="00A64416" w:rsidRDefault="00EE4910" w:rsidP="00EE49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32" w:rsidRDefault="00171C32" w:rsidP="00D35F7C">
      <w:pPr>
        <w:spacing w:after="0" w:line="240" w:lineRule="auto"/>
      </w:pPr>
      <w:r>
        <w:separator/>
      </w:r>
    </w:p>
  </w:footnote>
  <w:footnote w:type="continuationSeparator" w:id="0">
    <w:p w:rsidR="00171C32" w:rsidRDefault="00171C32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EE4910" w:rsidRPr="00625444" w:rsidTr="00EE4910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EE4910" w:rsidRDefault="00EE4910" w:rsidP="00EE4910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EE4910" w:rsidRDefault="00EE49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4C"/>
    <w:multiLevelType w:val="hybridMultilevel"/>
    <w:tmpl w:val="C428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D04"/>
    <w:multiLevelType w:val="hybridMultilevel"/>
    <w:tmpl w:val="D8BE92AE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460947"/>
    <w:multiLevelType w:val="hybridMultilevel"/>
    <w:tmpl w:val="5874C92A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6848D6"/>
    <w:multiLevelType w:val="hybridMultilevel"/>
    <w:tmpl w:val="0FF8EFB0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CF041A"/>
    <w:multiLevelType w:val="hybridMultilevel"/>
    <w:tmpl w:val="0904180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34543"/>
    <w:multiLevelType w:val="hybridMultilevel"/>
    <w:tmpl w:val="C50ABFC2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090206"/>
    <w:multiLevelType w:val="hybridMultilevel"/>
    <w:tmpl w:val="C0BC977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045BF"/>
    <w:multiLevelType w:val="hybridMultilevel"/>
    <w:tmpl w:val="EE640F90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A247F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BE3AE1"/>
    <w:multiLevelType w:val="hybridMultilevel"/>
    <w:tmpl w:val="D3001E3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36E10"/>
    <w:multiLevelType w:val="hybridMultilevel"/>
    <w:tmpl w:val="521A246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C240CBB"/>
    <w:multiLevelType w:val="hybridMultilevel"/>
    <w:tmpl w:val="B3184376"/>
    <w:lvl w:ilvl="0" w:tplc="72FEE0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E85F85"/>
    <w:multiLevelType w:val="hybridMultilevel"/>
    <w:tmpl w:val="D3001E3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16A8F"/>
    <w:multiLevelType w:val="hybridMultilevel"/>
    <w:tmpl w:val="96BAD11E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E41CA4"/>
    <w:multiLevelType w:val="hybridMultilevel"/>
    <w:tmpl w:val="E3EC8770"/>
    <w:lvl w:ilvl="0" w:tplc="387C7C64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F76733"/>
    <w:multiLevelType w:val="hybridMultilevel"/>
    <w:tmpl w:val="E3C6A0A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883173"/>
    <w:multiLevelType w:val="hybridMultilevel"/>
    <w:tmpl w:val="6ABC2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F67FD"/>
    <w:multiLevelType w:val="hybridMultilevel"/>
    <w:tmpl w:val="96BAD11E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D2EDD"/>
    <w:multiLevelType w:val="hybridMultilevel"/>
    <w:tmpl w:val="A774AAC6"/>
    <w:lvl w:ilvl="0" w:tplc="F14A5F1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EE5580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8"/>
  </w:num>
  <w:num w:numId="8">
    <w:abstractNumId w:val="15"/>
  </w:num>
  <w:num w:numId="9">
    <w:abstractNumId w:val="22"/>
  </w:num>
  <w:num w:numId="10">
    <w:abstractNumId w:val="23"/>
  </w:num>
  <w:num w:numId="11">
    <w:abstractNumId w:val="8"/>
  </w:num>
  <w:num w:numId="12">
    <w:abstractNumId w:val="19"/>
  </w:num>
  <w:num w:numId="13">
    <w:abstractNumId w:val="14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"/>
  </w:num>
  <w:num w:numId="20">
    <w:abstractNumId w:val="0"/>
  </w:num>
  <w:num w:numId="21">
    <w:abstractNumId w:val="17"/>
  </w:num>
  <w:num w:numId="22">
    <w:abstractNumId w:val="21"/>
  </w:num>
  <w:num w:numId="23">
    <w:abstractNumId w:val="1"/>
  </w:num>
  <w:num w:numId="2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14491"/>
    <w:rsid w:val="000159F8"/>
    <w:rsid w:val="00026F43"/>
    <w:rsid w:val="00035B16"/>
    <w:rsid w:val="00042BA4"/>
    <w:rsid w:val="00046EA6"/>
    <w:rsid w:val="0005397C"/>
    <w:rsid w:val="00054ED9"/>
    <w:rsid w:val="00061453"/>
    <w:rsid w:val="00061842"/>
    <w:rsid w:val="0006421C"/>
    <w:rsid w:val="00064332"/>
    <w:rsid w:val="000670C2"/>
    <w:rsid w:val="00071123"/>
    <w:rsid w:val="00074692"/>
    <w:rsid w:val="0007497D"/>
    <w:rsid w:val="000813B1"/>
    <w:rsid w:val="00087380"/>
    <w:rsid w:val="0009314C"/>
    <w:rsid w:val="0009551D"/>
    <w:rsid w:val="00095BE7"/>
    <w:rsid w:val="0009601C"/>
    <w:rsid w:val="000976D9"/>
    <w:rsid w:val="000A043B"/>
    <w:rsid w:val="000A2FAD"/>
    <w:rsid w:val="000B2993"/>
    <w:rsid w:val="000B4C81"/>
    <w:rsid w:val="000B7A1A"/>
    <w:rsid w:val="000C6995"/>
    <w:rsid w:val="000D2C97"/>
    <w:rsid w:val="000D46AC"/>
    <w:rsid w:val="000D76FD"/>
    <w:rsid w:val="000E3301"/>
    <w:rsid w:val="000E4AE7"/>
    <w:rsid w:val="000E4CA5"/>
    <w:rsid w:val="000F42F6"/>
    <w:rsid w:val="000F56E6"/>
    <w:rsid w:val="001017C2"/>
    <w:rsid w:val="00110C28"/>
    <w:rsid w:val="001211EF"/>
    <w:rsid w:val="00131189"/>
    <w:rsid w:val="00143CEA"/>
    <w:rsid w:val="001453BC"/>
    <w:rsid w:val="00147986"/>
    <w:rsid w:val="0015272B"/>
    <w:rsid w:val="00154771"/>
    <w:rsid w:val="00160386"/>
    <w:rsid w:val="00162985"/>
    <w:rsid w:val="00171C32"/>
    <w:rsid w:val="001726BD"/>
    <w:rsid w:val="00175FEA"/>
    <w:rsid w:val="00177BBA"/>
    <w:rsid w:val="001807DC"/>
    <w:rsid w:val="0018539A"/>
    <w:rsid w:val="00186120"/>
    <w:rsid w:val="0018759B"/>
    <w:rsid w:val="00187AC2"/>
    <w:rsid w:val="00190627"/>
    <w:rsid w:val="001A057E"/>
    <w:rsid w:val="001A098C"/>
    <w:rsid w:val="001A1804"/>
    <w:rsid w:val="001A1CEE"/>
    <w:rsid w:val="001A45E2"/>
    <w:rsid w:val="001B19CD"/>
    <w:rsid w:val="001B346E"/>
    <w:rsid w:val="001B59EA"/>
    <w:rsid w:val="001B5C6B"/>
    <w:rsid w:val="001C052A"/>
    <w:rsid w:val="001C2366"/>
    <w:rsid w:val="001C26EC"/>
    <w:rsid w:val="001C7771"/>
    <w:rsid w:val="001D5C0A"/>
    <w:rsid w:val="001D7F1C"/>
    <w:rsid w:val="001E1E24"/>
    <w:rsid w:val="001E216E"/>
    <w:rsid w:val="001E3DE6"/>
    <w:rsid w:val="001F26B7"/>
    <w:rsid w:val="00203783"/>
    <w:rsid w:val="00210E7E"/>
    <w:rsid w:val="002139AD"/>
    <w:rsid w:val="00213E5E"/>
    <w:rsid w:val="00214B7B"/>
    <w:rsid w:val="00214CCD"/>
    <w:rsid w:val="00216E45"/>
    <w:rsid w:val="00221785"/>
    <w:rsid w:val="00225BF0"/>
    <w:rsid w:val="00230F7D"/>
    <w:rsid w:val="002317DC"/>
    <w:rsid w:val="00232AAC"/>
    <w:rsid w:val="00236941"/>
    <w:rsid w:val="00242245"/>
    <w:rsid w:val="00242C0B"/>
    <w:rsid w:val="00243304"/>
    <w:rsid w:val="00245D07"/>
    <w:rsid w:val="002506DD"/>
    <w:rsid w:val="002513A3"/>
    <w:rsid w:val="00260E77"/>
    <w:rsid w:val="0026352C"/>
    <w:rsid w:val="00265612"/>
    <w:rsid w:val="00267241"/>
    <w:rsid w:val="00271D13"/>
    <w:rsid w:val="00272AF6"/>
    <w:rsid w:val="0027758C"/>
    <w:rsid w:val="00281C1A"/>
    <w:rsid w:val="00282B6F"/>
    <w:rsid w:val="002845C1"/>
    <w:rsid w:val="00296F33"/>
    <w:rsid w:val="002A253C"/>
    <w:rsid w:val="002A3397"/>
    <w:rsid w:val="002A6091"/>
    <w:rsid w:val="002B66BD"/>
    <w:rsid w:val="002B7732"/>
    <w:rsid w:val="002C0144"/>
    <w:rsid w:val="002C17EA"/>
    <w:rsid w:val="002C4C13"/>
    <w:rsid w:val="002D259C"/>
    <w:rsid w:val="002E35F7"/>
    <w:rsid w:val="002E6385"/>
    <w:rsid w:val="002E6914"/>
    <w:rsid w:val="002F1266"/>
    <w:rsid w:val="002F1352"/>
    <w:rsid w:val="002F3912"/>
    <w:rsid w:val="002F4AC1"/>
    <w:rsid w:val="002F6DCE"/>
    <w:rsid w:val="00300F25"/>
    <w:rsid w:val="00306B0F"/>
    <w:rsid w:val="00317571"/>
    <w:rsid w:val="00324701"/>
    <w:rsid w:val="0033441D"/>
    <w:rsid w:val="00337456"/>
    <w:rsid w:val="00340ACB"/>
    <w:rsid w:val="0034327D"/>
    <w:rsid w:val="0034664A"/>
    <w:rsid w:val="00352B35"/>
    <w:rsid w:val="00354F9C"/>
    <w:rsid w:val="00356A16"/>
    <w:rsid w:val="003621FA"/>
    <w:rsid w:val="003651B3"/>
    <w:rsid w:val="00367B17"/>
    <w:rsid w:val="00372CD4"/>
    <w:rsid w:val="0037545E"/>
    <w:rsid w:val="00392866"/>
    <w:rsid w:val="003A356F"/>
    <w:rsid w:val="003A6D16"/>
    <w:rsid w:val="003B1780"/>
    <w:rsid w:val="003B44E6"/>
    <w:rsid w:val="003C31DB"/>
    <w:rsid w:val="003C3931"/>
    <w:rsid w:val="003C5322"/>
    <w:rsid w:val="003D003E"/>
    <w:rsid w:val="003D0848"/>
    <w:rsid w:val="003D1EC1"/>
    <w:rsid w:val="003D4824"/>
    <w:rsid w:val="003D6367"/>
    <w:rsid w:val="003D786F"/>
    <w:rsid w:val="003D7AF3"/>
    <w:rsid w:val="003E028B"/>
    <w:rsid w:val="003E0FBE"/>
    <w:rsid w:val="003F1A51"/>
    <w:rsid w:val="003F25B8"/>
    <w:rsid w:val="00400BEA"/>
    <w:rsid w:val="0040102B"/>
    <w:rsid w:val="00405198"/>
    <w:rsid w:val="0040742A"/>
    <w:rsid w:val="00421CF7"/>
    <w:rsid w:val="0042337C"/>
    <w:rsid w:val="00424AFC"/>
    <w:rsid w:val="004337A9"/>
    <w:rsid w:val="00434B9B"/>
    <w:rsid w:val="0044285C"/>
    <w:rsid w:val="00444164"/>
    <w:rsid w:val="00446105"/>
    <w:rsid w:val="0044680C"/>
    <w:rsid w:val="004529B7"/>
    <w:rsid w:val="004579FD"/>
    <w:rsid w:val="00457B42"/>
    <w:rsid w:val="004747A9"/>
    <w:rsid w:val="00474EBA"/>
    <w:rsid w:val="00475EAB"/>
    <w:rsid w:val="00476FC9"/>
    <w:rsid w:val="004771AB"/>
    <w:rsid w:val="004829B3"/>
    <w:rsid w:val="00491217"/>
    <w:rsid w:val="004A6826"/>
    <w:rsid w:val="004B78E0"/>
    <w:rsid w:val="004C2D78"/>
    <w:rsid w:val="004C6C74"/>
    <w:rsid w:val="004D024A"/>
    <w:rsid w:val="004D270E"/>
    <w:rsid w:val="004D3142"/>
    <w:rsid w:val="004D51DF"/>
    <w:rsid w:val="004E3195"/>
    <w:rsid w:val="004E55BA"/>
    <w:rsid w:val="004F18A9"/>
    <w:rsid w:val="004F476F"/>
    <w:rsid w:val="00511A82"/>
    <w:rsid w:val="00524594"/>
    <w:rsid w:val="00527C74"/>
    <w:rsid w:val="00534844"/>
    <w:rsid w:val="00551ACC"/>
    <w:rsid w:val="005672E4"/>
    <w:rsid w:val="00577E9C"/>
    <w:rsid w:val="0058702E"/>
    <w:rsid w:val="00593F59"/>
    <w:rsid w:val="0059612F"/>
    <w:rsid w:val="005962F2"/>
    <w:rsid w:val="005A2DB1"/>
    <w:rsid w:val="005B2FE0"/>
    <w:rsid w:val="005B3298"/>
    <w:rsid w:val="005B3623"/>
    <w:rsid w:val="005C1A31"/>
    <w:rsid w:val="005C1B7E"/>
    <w:rsid w:val="005C4ACB"/>
    <w:rsid w:val="005C6327"/>
    <w:rsid w:val="005D0D80"/>
    <w:rsid w:val="005D1ED1"/>
    <w:rsid w:val="005D2DC3"/>
    <w:rsid w:val="005D373C"/>
    <w:rsid w:val="005D77F9"/>
    <w:rsid w:val="005E207F"/>
    <w:rsid w:val="005E32C6"/>
    <w:rsid w:val="005E4ED9"/>
    <w:rsid w:val="005F0F4B"/>
    <w:rsid w:val="005F17E3"/>
    <w:rsid w:val="00602BE6"/>
    <w:rsid w:val="00604097"/>
    <w:rsid w:val="006074AE"/>
    <w:rsid w:val="00613002"/>
    <w:rsid w:val="00621D6C"/>
    <w:rsid w:val="00623825"/>
    <w:rsid w:val="00624B43"/>
    <w:rsid w:val="0062699B"/>
    <w:rsid w:val="0063650E"/>
    <w:rsid w:val="00642565"/>
    <w:rsid w:val="006573EC"/>
    <w:rsid w:val="00662D8B"/>
    <w:rsid w:val="00662E74"/>
    <w:rsid w:val="0066382C"/>
    <w:rsid w:val="006644A7"/>
    <w:rsid w:val="006665E6"/>
    <w:rsid w:val="0067756E"/>
    <w:rsid w:val="00677C30"/>
    <w:rsid w:val="00682813"/>
    <w:rsid w:val="00691325"/>
    <w:rsid w:val="0069143C"/>
    <w:rsid w:val="00691A37"/>
    <w:rsid w:val="00693CCC"/>
    <w:rsid w:val="00694869"/>
    <w:rsid w:val="0069555E"/>
    <w:rsid w:val="006A05EA"/>
    <w:rsid w:val="006A25DB"/>
    <w:rsid w:val="006A3A5D"/>
    <w:rsid w:val="006A68E1"/>
    <w:rsid w:val="006B13E2"/>
    <w:rsid w:val="006B6157"/>
    <w:rsid w:val="006B736A"/>
    <w:rsid w:val="006C1B34"/>
    <w:rsid w:val="006C3CBC"/>
    <w:rsid w:val="006D1C56"/>
    <w:rsid w:val="006D360E"/>
    <w:rsid w:val="006D64A9"/>
    <w:rsid w:val="006E1FF3"/>
    <w:rsid w:val="006E758F"/>
    <w:rsid w:val="006F345F"/>
    <w:rsid w:val="006F4769"/>
    <w:rsid w:val="006F58C9"/>
    <w:rsid w:val="007152A1"/>
    <w:rsid w:val="0071544D"/>
    <w:rsid w:val="00715B8F"/>
    <w:rsid w:val="00723820"/>
    <w:rsid w:val="00725DA3"/>
    <w:rsid w:val="0073494E"/>
    <w:rsid w:val="0075065E"/>
    <w:rsid w:val="00751485"/>
    <w:rsid w:val="00753E6F"/>
    <w:rsid w:val="007646C7"/>
    <w:rsid w:val="00766CE1"/>
    <w:rsid w:val="00775047"/>
    <w:rsid w:val="007769A6"/>
    <w:rsid w:val="00777925"/>
    <w:rsid w:val="0078577D"/>
    <w:rsid w:val="0079132E"/>
    <w:rsid w:val="00795CB1"/>
    <w:rsid w:val="007A02D6"/>
    <w:rsid w:val="007A25B0"/>
    <w:rsid w:val="007A3C25"/>
    <w:rsid w:val="007B0B51"/>
    <w:rsid w:val="007B1388"/>
    <w:rsid w:val="007B611A"/>
    <w:rsid w:val="007C37BC"/>
    <w:rsid w:val="007C3837"/>
    <w:rsid w:val="007D704F"/>
    <w:rsid w:val="007E31E4"/>
    <w:rsid w:val="007E7F21"/>
    <w:rsid w:val="007F5C1F"/>
    <w:rsid w:val="007F7E25"/>
    <w:rsid w:val="00801FC9"/>
    <w:rsid w:val="008050FD"/>
    <w:rsid w:val="00811F7D"/>
    <w:rsid w:val="00811F82"/>
    <w:rsid w:val="00812FD1"/>
    <w:rsid w:val="0082338C"/>
    <w:rsid w:val="008324E9"/>
    <w:rsid w:val="0083535B"/>
    <w:rsid w:val="008368E1"/>
    <w:rsid w:val="00836B7B"/>
    <w:rsid w:val="00836E90"/>
    <w:rsid w:val="00837678"/>
    <w:rsid w:val="00837AD0"/>
    <w:rsid w:val="00840532"/>
    <w:rsid w:val="00843921"/>
    <w:rsid w:val="00864B01"/>
    <w:rsid w:val="008712FE"/>
    <w:rsid w:val="00875C8A"/>
    <w:rsid w:val="00875F4E"/>
    <w:rsid w:val="00877F53"/>
    <w:rsid w:val="00887783"/>
    <w:rsid w:val="00887E59"/>
    <w:rsid w:val="00892AF9"/>
    <w:rsid w:val="00896326"/>
    <w:rsid w:val="008969C0"/>
    <w:rsid w:val="008A1FB4"/>
    <w:rsid w:val="008A23B8"/>
    <w:rsid w:val="008A34C5"/>
    <w:rsid w:val="008A4A22"/>
    <w:rsid w:val="008A5E76"/>
    <w:rsid w:val="008A68D0"/>
    <w:rsid w:val="008A7F50"/>
    <w:rsid w:val="008B1A05"/>
    <w:rsid w:val="008B5E07"/>
    <w:rsid w:val="008B7AA4"/>
    <w:rsid w:val="008C2B59"/>
    <w:rsid w:val="008C40A7"/>
    <w:rsid w:val="008D6AD4"/>
    <w:rsid w:val="008D6C2C"/>
    <w:rsid w:val="008E69B8"/>
    <w:rsid w:val="008F2137"/>
    <w:rsid w:val="008F4F37"/>
    <w:rsid w:val="0090382F"/>
    <w:rsid w:val="00904B60"/>
    <w:rsid w:val="00906C6A"/>
    <w:rsid w:val="00906E7E"/>
    <w:rsid w:val="009148B8"/>
    <w:rsid w:val="00917E34"/>
    <w:rsid w:val="00920D8F"/>
    <w:rsid w:val="00927A0C"/>
    <w:rsid w:val="00932FA6"/>
    <w:rsid w:val="00934F3A"/>
    <w:rsid w:val="009371F5"/>
    <w:rsid w:val="00941F76"/>
    <w:rsid w:val="00944477"/>
    <w:rsid w:val="009453FA"/>
    <w:rsid w:val="00947226"/>
    <w:rsid w:val="0095008C"/>
    <w:rsid w:val="00950FE8"/>
    <w:rsid w:val="00952EA7"/>
    <w:rsid w:val="00953981"/>
    <w:rsid w:val="00953BC4"/>
    <w:rsid w:val="0095714C"/>
    <w:rsid w:val="0096495A"/>
    <w:rsid w:val="00964D0F"/>
    <w:rsid w:val="00972EBC"/>
    <w:rsid w:val="009742A0"/>
    <w:rsid w:val="00976805"/>
    <w:rsid w:val="009808DF"/>
    <w:rsid w:val="00985836"/>
    <w:rsid w:val="00987036"/>
    <w:rsid w:val="00994948"/>
    <w:rsid w:val="00997567"/>
    <w:rsid w:val="009B1F09"/>
    <w:rsid w:val="009B34E3"/>
    <w:rsid w:val="009B4BFE"/>
    <w:rsid w:val="009B535F"/>
    <w:rsid w:val="009C5819"/>
    <w:rsid w:val="009C729E"/>
    <w:rsid w:val="009C7E51"/>
    <w:rsid w:val="009D6025"/>
    <w:rsid w:val="009D6520"/>
    <w:rsid w:val="009E402E"/>
    <w:rsid w:val="009F515B"/>
    <w:rsid w:val="009F569D"/>
    <w:rsid w:val="00A00BB8"/>
    <w:rsid w:val="00A00C2D"/>
    <w:rsid w:val="00A0210C"/>
    <w:rsid w:val="00A07E55"/>
    <w:rsid w:val="00A1066E"/>
    <w:rsid w:val="00A10789"/>
    <w:rsid w:val="00A1317A"/>
    <w:rsid w:val="00A1381C"/>
    <w:rsid w:val="00A158F5"/>
    <w:rsid w:val="00A17A2C"/>
    <w:rsid w:val="00A209CF"/>
    <w:rsid w:val="00A213BC"/>
    <w:rsid w:val="00A239F8"/>
    <w:rsid w:val="00A276B4"/>
    <w:rsid w:val="00A30BC0"/>
    <w:rsid w:val="00A3728A"/>
    <w:rsid w:val="00A439AF"/>
    <w:rsid w:val="00A470C8"/>
    <w:rsid w:val="00A5622A"/>
    <w:rsid w:val="00A60DEC"/>
    <w:rsid w:val="00A60F2B"/>
    <w:rsid w:val="00A72A0D"/>
    <w:rsid w:val="00A93F48"/>
    <w:rsid w:val="00A94069"/>
    <w:rsid w:val="00AC40CD"/>
    <w:rsid w:val="00AC6774"/>
    <w:rsid w:val="00AC6D92"/>
    <w:rsid w:val="00AD175C"/>
    <w:rsid w:val="00B011C5"/>
    <w:rsid w:val="00B04450"/>
    <w:rsid w:val="00B0616F"/>
    <w:rsid w:val="00B104D1"/>
    <w:rsid w:val="00B10668"/>
    <w:rsid w:val="00B11311"/>
    <w:rsid w:val="00B17D96"/>
    <w:rsid w:val="00B20C5D"/>
    <w:rsid w:val="00B26E38"/>
    <w:rsid w:val="00B32AAC"/>
    <w:rsid w:val="00B46399"/>
    <w:rsid w:val="00B47D29"/>
    <w:rsid w:val="00B50A71"/>
    <w:rsid w:val="00B533D4"/>
    <w:rsid w:val="00B564E0"/>
    <w:rsid w:val="00B5709C"/>
    <w:rsid w:val="00B60BDB"/>
    <w:rsid w:val="00B64731"/>
    <w:rsid w:val="00B649AE"/>
    <w:rsid w:val="00B92BB6"/>
    <w:rsid w:val="00BA3470"/>
    <w:rsid w:val="00BB1E34"/>
    <w:rsid w:val="00BC0317"/>
    <w:rsid w:val="00BC3434"/>
    <w:rsid w:val="00BC6AAF"/>
    <w:rsid w:val="00BD2B33"/>
    <w:rsid w:val="00BD53F7"/>
    <w:rsid w:val="00BE2640"/>
    <w:rsid w:val="00BE5BFA"/>
    <w:rsid w:val="00BE6A11"/>
    <w:rsid w:val="00BF434B"/>
    <w:rsid w:val="00BF4499"/>
    <w:rsid w:val="00BF4B19"/>
    <w:rsid w:val="00BF6AF5"/>
    <w:rsid w:val="00BF7E28"/>
    <w:rsid w:val="00C13094"/>
    <w:rsid w:val="00C1593E"/>
    <w:rsid w:val="00C17219"/>
    <w:rsid w:val="00C175AC"/>
    <w:rsid w:val="00C21912"/>
    <w:rsid w:val="00C22E11"/>
    <w:rsid w:val="00C30AA1"/>
    <w:rsid w:val="00C32E31"/>
    <w:rsid w:val="00C34E64"/>
    <w:rsid w:val="00C46361"/>
    <w:rsid w:val="00C53532"/>
    <w:rsid w:val="00C559B1"/>
    <w:rsid w:val="00C61DC9"/>
    <w:rsid w:val="00C65422"/>
    <w:rsid w:val="00C82D5C"/>
    <w:rsid w:val="00C850F1"/>
    <w:rsid w:val="00C87FA2"/>
    <w:rsid w:val="00C907EA"/>
    <w:rsid w:val="00C90B99"/>
    <w:rsid w:val="00CA4251"/>
    <w:rsid w:val="00CA605A"/>
    <w:rsid w:val="00CB5C99"/>
    <w:rsid w:val="00CC340D"/>
    <w:rsid w:val="00CC3C37"/>
    <w:rsid w:val="00CC4523"/>
    <w:rsid w:val="00CC5C38"/>
    <w:rsid w:val="00CD0D6E"/>
    <w:rsid w:val="00CD4A9F"/>
    <w:rsid w:val="00CE0AF5"/>
    <w:rsid w:val="00CE5661"/>
    <w:rsid w:val="00CE6E1B"/>
    <w:rsid w:val="00CF489D"/>
    <w:rsid w:val="00D01E13"/>
    <w:rsid w:val="00D043B0"/>
    <w:rsid w:val="00D068CE"/>
    <w:rsid w:val="00D16295"/>
    <w:rsid w:val="00D21388"/>
    <w:rsid w:val="00D24FE4"/>
    <w:rsid w:val="00D25801"/>
    <w:rsid w:val="00D2759B"/>
    <w:rsid w:val="00D2795F"/>
    <w:rsid w:val="00D32769"/>
    <w:rsid w:val="00D32ACC"/>
    <w:rsid w:val="00D34478"/>
    <w:rsid w:val="00D35F7C"/>
    <w:rsid w:val="00D37117"/>
    <w:rsid w:val="00D4269B"/>
    <w:rsid w:val="00D442C5"/>
    <w:rsid w:val="00D452F7"/>
    <w:rsid w:val="00D47BC1"/>
    <w:rsid w:val="00D51D55"/>
    <w:rsid w:val="00D52151"/>
    <w:rsid w:val="00D52667"/>
    <w:rsid w:val="00D53E58"/>
    <w:rsid w:val="00D63126"/>
    <w:rsid w:val="00D634F8"/>
    <w:rsid w:val="00D64240"/>
    <w:rsid w:val="00D73D61"/>
    <w:rsid w:val="00D75406"/>
    <w:rsid w:val="00D82AD9"/>
    <w:rsid w:val="00D843D4"/>
    <w:rsid w:val="00D8705C"/>
    <w:rsid w:val="00D90B05"/>
    <w:rsid w:val="00D927FC"/>
    <w:rsid w:val="00D9388C"/>
    <w:rsid w:val="00D95FCC"/>
    <w:rsid w:val="00DA1E5D"/>
    <w:rsid w:val="00DA5175"/>
    <w:rsid w:val="00DB0AB8"/>
    <w:rsid w:val="00DD1D72"/>
    <w:rsid w:val="00DE1727"/>
    <w:rsid w:val="00DE28CA"/>
    <w:rsid w:val="00DE75B1"/>
    <w:rsid w:val="00DE7BE2"/>
    <w:rsid w:val="00DE7C64"/>
    <w:rsid w:val="00DF0F9E"/>
    <w:rsid w:val="00DF452B"/>
    <w:rsid w:val="00DF5BC3"/>
    <w:rsid w:val="00E042F5"/>
    <w:rsid w:val="00E13F55"/>
    <w:rsid w:val="00E30B27"/>
    <w:rsid w:val="00E30ECB"/>
    <w:rsid w:val="00E44DD9"/>
    <w:rsid w:val="00E469EE"/>
    <w:rsid w:val="00E50CC0"/>
    <w:rsid w:val="00E55A24"/>
    <w:rsid w:val="00E7118D"/>
    <w:rsid w:val="00E73FB5"/>
    <w:rsid w:val="00E74577"/>
    <w:rsid w:val="00E80C78"/>
    <w:rsid w:val="00E81A29"/>
    <w:rsid w:val="00E82590"/>
    <w:rsid w:val="00E86964"/>
    <w:rsid w:val="00EA0F5A"/>
    <w:rsid w:val="00EA491A"/>
    <w:rsid w:val="00EB1268"/>
    <w:rsid w:val="00EB2C0A"/>
    <w:rsid w:val="00EC27F2"/>
    <w:rsid w:val="00EC2ED0"/>
    <w:rsid w:val="00EC4C8D"/>
    <w:rsid w:val="00EC5C92"/>
    <w:rsid w:val="00EC5DE5"/>
    <w:rsid w:val="00EC6D43"/>
    <w:rsid w:val="00ED372E"/>
    <w:rsid w:val="00ED43F3"/>
    <w:rsid w:val="00ED5E0C"/>
    <w:rsid w:val="00ED61D0"/>
    <w:rsid w:val="00ED6E62"/>
    <w:rsid w:val="00EE1334"/>
    <w:rsid w:val="00EE3565"/>
    <w:rsid w:val="00EE42C2"/>
    <w:rsid w:val="00EE4910"/>
    <w:rsid w:val="00EF3BA6"/>
    <w:rsid w:val="00EF3EF7"/>
    <w:rsid w:val="00EF402F"/>
    <w:rsid w:val="00EF548D"/>
    <w:rsid w:val="00EF76E1"/>
    <w:rsid w:val="00F0093E"/>
    <w:rsid w:val="00F06A81"/>
    <w:rsid w:val="00F140C8"/>
    <w:rsid w:val="00F207B5"/>
    <w:rsid w:val="00F2118B"/>
    <w:rsid w:val="00F223C2"/>
    <w:rsid w:val="00F235A0"/>
    <w:rsid w:val="00F264B4"/>
    <w:rsid w:val="00F376C8"/>
    <w:rsid w:val="00F415BE"/>
    <w:rsid w:val="00F42412"/>
    <w:rsid w:val="00F4792F"/>
    <w:rsid w:val="00F55157"/>
    <w:rsid w:val="00F63CF6"/>
    <w:rsid w:val="00F65516"/>
    <w:rsid w:val="00F66D1D"/>
    <w:rsid w:val="00F741FA"/>
    <w:rsid w:val="00F81EFB"/>
    <w:rsid w:val="00F92038"/>
    <w:rsid w:val="00FA4143"/>
    <w:rsid w:val="00FB236E"/>
    <w:rsid w:val="00FC493F"/>
    <w:rsid w:val="00FC4FE7"/>
    <w:rsid w:val="00FC6429"/>
    <w:rsid w:val="00FC7B19"/>
    <w:rsid w:val="00FD3CDE"/>
    <w:rsid w:val="00FD6CE6"/>
    <w:rsid w:val="00FE4D40"/>
    <w:rsid w:val="00FE62D5"/>
    <w:rsid w:val="00FF13F9"/>
    <w:rsid w:val="00FF1DD1"/>
    <w:rsid w:val="00FF26F6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340D"/>
    <w:rPr>
      <w:b/>
      <w:bCs/>
    </w:rPr>
  </w:style>
  <w:style w:type="table" w:styleId="Listavistosa-nfasis4">
    <w:name w:val="Colorful List Accent 4"/>
    <w:basedOn w:val="Tablanormal"/>
    <w:uiPriority w:val="72"/>
    <w:rsid w:val="00A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bc.gob.mx/ArchivosInternet%5C7657774735-AYTO%20TECATE%20201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fsbc.gob.mx/ArchivosInternet%5C8170855050-COPLADEM%20TKT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sbc.gob.mx/ArchivosInternet%5C1612144288-3.%20IMJUVET%20TKT%2020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fsbc.gob.mx/ArchivosInternet%5C6815478262-2.%20IMMUJER%20TKT%20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bc.gob.mx/ArchivosInternet%5C8417376810-2.%20C.056%20DIF%20TKT%20201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96ED-8FCC-47AB-B335-B3DFE1C4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2507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53</cp:revision>
  <cp:lastPrinted>2014-07-09T23:07:00Z</cp:lastPrinted>
  <dcterms:created xsi:type="dcterms:W3CDTF">2015-06-17T19:58:00Z</dcterms:created>
  <dcterms:modified xsi:type="dcterms:W3CDTF">2015-07-16T20:51:00Z</dcterms:modified>
</cp:coreProperties>
</file>