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0B13EE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0B13EE">
        <w:rPr>
          <w:rFonts w:asciiTheme="minorHAnsi" w:hAnsiTheme="minorHAnsi" w:cstheme="minorHAnsi"/>
          <w:b/>
        </w:rPr>
        <w:t>RECOMENDACIONES DERIVADAS DEL PROCESO DE EVALUACI</w:t>
      </w:r>
      <w:r w:rsidR="00B94616">
        <w:rPr>
          <w:rFonts w:asciiTheme="minorHAnsi" w:hAnsiTheme="minorHAnsi" w:cstheme="minorHAnsi"/>
          <w:b/>
        </w:rPr>
        <w:t>Ó</w:t>
      </w:r>
      <w:r w:rsidRPr="000B13EE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0B13EE" w:rsidRDefault="007F6583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0B13EE">
        <w:rPr>
          <w:rFonts w:asciiTheme="minorHAnsi" w:hAnsiTheme="minorHAnsi" w:cstheme="minorHAnsi"/>
          <w:b/>
          <w:szCs w:val="20"/>
        </w:rPr>
        <w:t>COMISIÓN ESTATAL DE ENEGÍA</w:t>
      </w:r>
    </w:p>
    <w:p w:rsidR="00F877A4" w:rsidRPr="000B13EE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0B13EE">
        <w:rPr>
          <w:rFonts w:asciiTheme="minorHAnsi" w:hAnsiTheme="minorHAnsi" w:cstheme="minorHAnsi"/>
          <w:b/>
          <w:szCs w:val="20"/>
        </w:rPr>
        <w:t>2D</w:t>
      </w:r>
      <w:r w:rsidR="00F877A4" w:rsidRPr="000B13EE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0B13EE" w:rsidRDefault="00F15373" w:rsidP="00E63CAB">
      <w:pPr>
        <w:jc w:val="center"/>
        <w:rPr>
          <w:rFonts w:cs="Calibri"/>
          <w:b/>
        </w:rPr>
      </w:pP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0B13EE" w:rsidRDefault="00F15373" w:rsidP="00670C56">
      <w:pPr>
        <w:jc w:val="both"/>
        <w:rPr>
          <w:b/>
        </w:rPr>
      </w:pPr>
      <w:r w:rsidRPr="000B13EE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0B13EE">
        <w:rPr>
          <w:rFonts w:cs="Calibri"/>
          <w:b/>
          <w:szCs w:val="20"/>
        </w:rPr>
        <w:t>vos de sus programas operativos.</w:t>
      </w:r>
    </w:p>
    <w:p w:rsidR="00151F92" w:rsidRPr="000B13EE" w:rsidRDefault="00151F92" w:rsidP="00151F92">
      <w:pPr>
        <w:pStyle w:val="Sinespaciado"/>
      </w:pPr>
      <w:r w:rsidRPr="000B13EE">
        <w:t>No se emiten recomendaciones respecto a esta fracción.</w:t>
      </w:r>
    </w:p>
    <w:p w:rsidR="00FD1F3B" w:rsidRPr="000B13EE" w:rsidRDefault="00FD1F3B" w:rsidP="00FD1F3B">
      <w:pPr>
        <w:pStyle w:val="Sinespaciado"/>
        <w:ind w:left="1070"/>
      </w:pPr>
    </w:p>
    <w:p w:rsidR="00E73B87" w:rsidRPr="000B13EE" w:rsidRDefault="00E73B87" w:rsidP="00982003">
      <w:pPr>
        <w:pStyle w:val="Sinespaciado"/>
      </w:pP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II.- Su estructura orgánica;</w:t>
      </w:r>
    </w:p>
    <w:p w:rsidR="006D666C" w:rsidRPr="000B13EE" w:rsidRDefault="006D666C" w:rsidP="006D666C">
      <w:pPr>
        <w:pStyle w:val="Sinespaciado"/>
      </w:pPr>
      <w:r w:rsidRPr="000B13EE">
        <w:t>No se emiten recomendaciones respecto a esta fracción.</w:t>
      </w:r>
    </w:p>
    <w:p w:rsidR="006930DC" w:rsidRPr="000B13EE" w:rsidRDefault="006930DC" w:rsidP="00E63CAB">
      <w:pPr>
        <w:jc w:val="both"/>
        <w:rPr>
          <w:rFonts w:cs="Calibri"/>
          <w:b/>
          <w:szCs w:val="20"/>
        </w:rPr>
      </w:pPr>
    </w:p>
    <w:p w:rsidR="00D02B96" w:rsidRPr="000B13EE" w:rsidRDefault="00517DC3" w:rsidP="00517DC3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A90366" w:rsidRPr="000B13EE" w:rsidRDefault="00A90366" w:rsidP="00A90366">
      <w:pPr>
        <w:pStyle w:val="Sinespaciado"/>
      </w:pPr>
      <w:r w:rsidRPr="000B13EE">
        <w:t>No se emiten recomendaciones respecto a esta fracción.</w:t>
      </w:r>
    </w:p>
    <w:p w:rsidR="006930DC" w:rsidRPr="000B13EE" w:rsidRDefault="006930DC" w:rsidP="00E63CAB">
      <w:pPr>
        <w:jc w:val="both"/>
        <w:rPr>
          <w:rFonts w:cs="Calibri"/>
          <w:b/>
          <w:szCs w:val="20"/>
        </w:rPr>
      </w:pPr>
    </w:p>
    <w:p w:rsidR="00517DC3" w:rsidRPr="000B13EE" w:rsidRDefault="00517DC3" w:rsidP="00517DC3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0B13EE" w:rsidRDefault="005C3C13" w:rsidP="005C3C13">
      <w:pPr>
        <w:pStyle w:val="Sinespaciado"/>
      </w:pPr>
      <w:r w:rsidRPr="000B13EE">
        <w:t>No se emiten recomendaciones respecto a esta fracción.</w:t>
      </w:r>
    </w:p>
    <w:p w:rsidR="00517DC3" w:rsidRPr="000B13EE" w:rsidRDefault="00517DC3" w:rsidP="00E63CAB">
      <w:pPr>
        <w:jc w:val="both"/>
        <w:rPr>
          <w:rFonts w:cs="Calibri"/>
          <w:b/>
          <w:szCs w:val="20"/>
        </w:rPr>
      </w:pPr>
    </w:p>
    <w:p w:rsidR="00373FD1" w:rsidRPr="000B13EE" w:rsidRDefault="00373FD1" w:rsidP="00E63CAB">
      <w:pPr>
        <w:jc w:val="both"/>
        <w:rPr>
          <w:rFonts w:cs="Calibri"/>
          <w:b/>
          <w:szCs w:val="20"/>
        </w:rPr>
      </w:pPr>
    </w:p>
    <w:p w:rsidR="00A90366" w:rsidRPr="000B13EE" w:rsidRDefault="00A90366" w:rsidP="00E63CAB">
      <w:pPr>
        <w:jc w:val="both"/>
        <w:rPr>
          <w:rFonts w:cs="Calibri"/>
          <w:b/>
          <w:szCs w:val="20"/>
        </w:rPr>
      </w:pPr>
    </w:p>
    <w:p w:rsidR="00A90366" w:rsidRPr="000B13EE" w:rsidRDefault="00A90366" w:rsidP="00E63CAB">
      <w:pPr>
        <w:jc w:val="both"/>
        <w:rPr>
          <w:rFonts w:cs="Calibri"/>
          <w:b/>
          <w:szCs w:val="20"/>
        </w:rPr>
      </w:pPr>
    </w:p>
    <w:p w:rsidR="006930DC" w:rsidRPr="000B13EE" w:rsidRDefault="006930DC" w:rsidP="006930DC">
      <w:pPr>
        <w:jc w:val="both"/>
        <w:rPr>
          <w:rFonts w:cs="Calibri"/>
          <w:sz w:val="18"/>
          <w:szCs w:val="20"/>
        </w:rPr>
      </w:pPr>
      <w:r w:rsidRPr="000B13EE">
        <w:rPr>
          <w:rFonts w:cs="Calibri"/>
          <w:b/>
          <w:sz w:val="18"/>
          <w:szCs w:val="20"/>
        </w:rPr>
        <w:t>NOTA</w:t>
      </w:r>
      <w:r w:rsidR="00A90366" w:rsidRPr="000B13EE">
        <w:rPr>
          <w:rFonts w:cs="Calibri"/>
          <w:sz w:val="18"/>
          <w:szCs w:val="20"/>
        </w:rPr>
        <w:t>: E</w:t>
      </w:r>
      <w:r w:rsidRPr="000B13EE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a).- Número de solicitudes de información que les han sido presentadas;</w:t>
      </w: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b).- Objeto de las solicitudes;</w:t>
      </w: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0B13EE" w:rsidRDefault="00C024AC" w:rsidP="00982003">
      <w:pPr>
        <w:pStyle w:val="Sinespaciado"/>
      </w:pPr>
      <w:r w:rsidRPr="000B13EE">
        <w:rPr>
          <w:b/>
        </w:rPr>
        <w:t>Nota</w:t>
      </w:r>
      <w:r w:rsidR="00CC1E7D" w:rsidRPr="000B13EE">
        <w:rPr>
          <w:b/>
        </w:rPr>
        <w:t>:</w:t>
      </w:r>
      <w:r w:rsidR="00CC1E7D" w:rsidRPr="000B13EE">
        <w:t xml:space="preserve"> ver</w:t>
      </w:r>
      <w:r w:rsidR="001C3C62" w:rsidRPr="000B13EE">
        <w:t xml:space="preserve"> </w:t>
      </w:r>
      <w:r w:rsidRPr="000B13EE">
        <w:t>recomendación</w:t>
      </w:r>
      <w:r w:rsidR="001C3C62" w:rsidRPr="000B13EE">
        <w:t xml:space="preserve"> general</w:t>
      </w:r>
      <w:r w:rsidR="00761600" w:rsidRPr="000B13EE">
        <w:t xml:space="preserve"> </w:t>
      </w:r>
      <w:r w:rsidR="005C3C13" w:rsidRPr="000B13EE">
        <w:t xml:space="preserve"> </w:t>
      </w:r>
      <w:r w:rsidR="003A748B" w:rsidRPr="000B13EE">
        <w:t>1</w:t>
      </w:r>
      <w:r w:rsidR="00151F92" w:rsidRPr="000B13EE">
        <w:t xml:space="preserve"> y 2</w:t>
      </w:r>
      <w:r w:rsidRPr="000B13EE">
        <w:t>.</w:t>
      </w:r>
    </w:p>
    <w:p w:rsidR="00C675EA" w:rsidRPr="000B13EE" w:rsidRDefault="001C3C62" w:rsidP="00E63CAB">
      <w:pPr>
        <w:ind w:left="708"/>
        <w:jc w:val="both"/>
        <w:rPr>
          <w:rFonts w:cs="Calibri"/>
          <w:szCs w:val="20"/>
        </w:rPr>
      </w:pPr>
      <w:r w:rsidRPr="000B13EE">
        <w:rPr>
          <w:rFonts w:cs="Calibri"/>
          <w:szCs w:val="20"/>
        </w:rPr>
        <w:t xml:space="preserve"> </w:t>
      </w: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0B13EE" w:rsidRDefault="00572019" w:rsidP="00572019">
      <w:pPr>
        <w:pStyle w:val="Sinespaciado"/>
      </w:pPr>
      <w:r w:rsidRPr="000B13EE">
        <w:t>No se emiten recomendaciones respecto a esta fracción.</w:t>
      </w:r>
    </w:p>
    <w:p w:rsidR="00572019" w:rsidRPr="000B13EE" w:rsidRDefault="00572019" w:rsidP="00E63CAB">
      <w:pPr>
        <w:jc w:val="both"/>
        <w:rPr>
          <w:rFonts w:cs="Calibri"/>
          <w:b/>
          <w:szCs w:val="20"/>
        </w:rPr>
      </w:pP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9F4401" w:rsidRPr="000B13EE" w:rsidRDefault="009F4401" w:rsidP="000B13EE">
      <w:pPr>
        <w:pStyle w:val="Prrafodelista"/>
        <w:numPr>
          <w:ilvl w:val="0"/>
          <w:numId w:val="43"/>
        </w:numPr>
        <w:tabs>
          <w:tab w:val="left" w:pos="426"/>
        </w:tabs>
        <w:jc w:val="both"/>
      </w:pPr>
      <w:r w:rsidRPr="000B13EE">
        <w:t>Se recomienda publicar información desglosando cualquier deducción, percepción, prestación y compensación en dinero o en especie que reciban con respecto al ejercicio de sus funciones. (E</w:t>
      </w:r>
      <w:r w:rsidRPr="000B13EE">
        <w:rPr>
          <w:rFonts w:cs="Calibri"/>
          <w:szCs w:val="20"/>
        </w:rPr>
        <w:t xml:space="preserve">n la fracción VIII del artículo 11 se identificaron conceptos no incluidos en las remuneraciones del personal de confianza como lo son bonos de canasta básica y bonos para transporte, razón por la cual se recomienda su incorporación a esta fracción. El enlace donde esta información fue localizada es el siguiente: </w:t>
      </w:r>
      <w:hyperlink r:id="rId8" w:history="1">
        <w:r w:rsidRPr="000B13EE">
          <w:rPr>
            <w:rStyle w:val="Hipervnculo"/>
            <w:rFonts w:cs="Calibri"/>
            <w:szCs w:val="20"/>
          </w:rPr>
          <w:t>http://www.bajacalifornia.gob.mx/bcfiscal/2012/transparencia_fiscal/costos_operativos/sueldos_funcionarios.html</w:t>
        </w:r>
      </w:hyperlink>
      <w:r w:rsidRPr="000B13EE">
        <w:rPr>
          <w:rFonts w:cs="Calibri"/>
          <w:szCs w:val="20"/>
        </w:rPr>
        <w:t xml:space="preserve">       </w:t>
      </w:r>
    </w:p>
    <w:p w:rsidR="009F4401" w:rsidRPr="000B13EE" w:rsidRDefault="009F4401" w:rsidP="000B13EE">
      <w:pPr>
        <w:pStyle w:val="Prrafodelista"/>
        <w:numPr>
          <w:ilvl w:val="0"/>
          <w:numId w:val="43"/>
        </w:numPr>
        <w:tabs>
          <w:tab w:val="left" w:pos="426"/>
        </w:tabs>
        <w:jc w:val="both"/>
      </w:pPr>
      <w:r w:rsidRPr="000B13EE">
        <w:t>Ciudad de adscripción</w:t>
      </w:r>
      <w:r w:rsidR="000B13EE" w:rsidRPr="000B13EE">
        <w:t>.</w:t>
      </w:r>
      <w:r w:rsidRPr="000B13EE">
        <w:t xml:space="preserve"> </w:t>
      </w:r>
    </w:p>
    <w:p w:rsidR="009F4401" w:rsidRPr="000B13EE" w:rsidRDefault="009F4401" w:rsidP="000B13EE">
      <w:pPr>
        <w:pStyle w:val="Prrafodelista"/>
        <w:tabs>
          <w:tab w:val="left" w:pos="426"/>
        </w:tabs>
        <w:ind w:left="1146" w:firstLine="135"/>
        <w:jc w:val="both"/>
      </w:pPr>
    </w:p>
    <w:p w:rsidR="004F1604" w:rsidRPr="000B13EE" w:rsidRDefault="004F1604" w:rsidP="004F1604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VIII.- Respecto del presupuesto de egresos:</w:t>
      </w:r>
    </w:p>
    <w:p w:rsidR="004F1604" w:rsidRPr="000B13EE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0B13EE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0B13EE">
        <w:rPr>
          <w:rFonts w:cs="Calibri"/>
          <w:b/>
          <w:szCs w:val="20"/>
        </w:rPr>
        <w:t xml:space="preserve">Se presentará en el formato de Presupuesto Ciudadano previsto en la Ley de Presupuesto y Ejercicio del Gasto Público del Estado; debiendo contener de manera generalizada, toda la </w:t>
      </w:r>
      <w:r w:rsidRPr="000B13EE">
        <w:rPr>
          <w:rFonts w:cs="Calibri"/>
          <w:b/>
          <w:szCs w:val="20"/>
        </w:rPr>
        <w:lastRenderedPageBreak/>
        <w:t>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0B13EE">
        <w:rPr>
          <w:rFonts w:cs="Calibri"/>
          <w:b/>
          <w:szCs w:val="20"/>
        </w:rPr>
        <w:t>.</w:t>
      </w:r>
    </w:p>
    <w:p w:rsidR="00151F92" w:rsidRPr="000B13EE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0B13EE" w:rsidRDefault="009F4401" w:rsidP="00151F92">
      <w:pPr>
        <w:pStyle w:val="Prrafodelista"/>
        <w:numPr>
          <w:ilvl w:val="0"/>
          <w:numId w:val="39"/>
        </w:numPr>
        <w:jc w:val="both"/>
      </w:pPr>
      <w:r w:rsidRPr="000B13EE">
        <w:t>Se  recomienda  publicar  información    referente  al  Presupuesto  de  Egresos  aprobado  para  el año en curso, por programas</w:t>
      </w:r>
      <w:r w:rsidR="00151F92" w:rsidRPr="000B13EE">
        <w:t>.</w:t>
      </w:r>
    </w:p>
    <w:p w:rsidR="00151F92" w:rsidRPr="000B13EE" w:rsidRDefault="00151F92" w:rsidP="00151F92">
      <w:pPr>
        <w:pStyle w:val="Prrafodelista"/>
        <w:numPr>
          <w:ilvl w:val="0"/>
          <w:numId w:val="39"/>
        </w:numPr>
        <w:jc w:val="both"/>
        <w:rPr>
          <w:rFonts w:cs="Calibri"/>
          <w:szCs w:val="20"/>
        </w:rPr>
      </w:pPr>
      <w:r w:rsidRPr="000B13EE">
        <w:rPr>
          <w:rFonts w:cs="Calibri"/>
          <w:szCs w:val="20"/>
        </w:rPr>
        <w:t xml:space="preserve">Se  recomienda  publicar  información  </w:t>
      </w:r>
      <w:r w:rsidR="00696D36" w:rsidRPr="000B13EE">
        <w:rPr>
          <w:rFonts w:cs="Calibri"/>
          <w:szCs w:val="20"/>
        </w:rPr>
        <w:t xml:space="preserve">completa </w:t>
      </w:r>
      <w:r w:rsidRPr="000B13EE">
        <w:rPr>
          <w:rFonts w:cs="Calibri"/>
          <w:szCs w:val="20"/>
        </w:rPr>
        <w:t>respecto  al  Informe  de  Ejecución  de  Presupuesto correspondiente al primer trimestre de 201</w:t>
      </w:r>
      <w:r w:rsidR="00696D36" w:rsidRPr="000B13EE">
        <w:rPr>
          <w:rFonts w:cs="Calibri"/>
          <w:szCs w:val="20"/>
        </w:rPr>
        <w:t>5</w:t>
      </w:r>
      <w:r w:rsidRPr="000B13EE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Municipios.</w:t>
      </w:r>
    </w:p>
    <w:p w:rsidR="00A204BE" w:rsidRPr="000B13EE" w:rsidRDefault="00A204BE" w:rsidP="002627DF">
      <w:pPr>
        <w:jc w:val="both"/>
        <w:rPr>
          <w:rFonts w:cs="Calibri"/>
          <w:b/>
          <w:szCs w:val="20"/>
        </w:rPr>
      </w:pPr>
    </w:p>
    <w:p w:rsidR="00F15373" w:rsidRPr="000B13EE" w:rsidRDefault="00F15373" w:rsidP="002627DF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0B13EE" w:rsidRDefault="00403388" w:rsidP="00403388">
      <w:pPr>
        <w:pStyle w:val="Sinespaciado"/>
      </w:pPr>
      <w:r w:rsidRPr="000B13EE">
        <w:t>No se emiten recomendaciones respecto a esta fracción.</w:t>
      </w:r>
    </w:p>
    <w:p w:rsidR="00346EB1" w:rsidRPr="000B13EE" w:rsidRDefault="00346EB1" w:rsidP="00E63CAB">
      <w:pPr>
        <w:jc w:val="both"/>
        <w:rPr>
          <w:rFonts w:cs="Calibri"/>
          <w:b/>
          <w:szCs w:val="20"/>
        </w:rPr>
      </w:pP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0B13EE" w:rsidRDefault="00BB25F3" w:rsidP="00BB25F3">
      <w:pPr>
        <w:pStyle w:val="Sinespaciado"/>
      </w:pPr>
      <w:r w:rsidRPr="000B13EE">
        <w:t>No se emiten recomendaciones respecto a esta fracción.</w:t>
      </w:r>
    </w:p>
    <w:p w:rsidR="00346EB1" w:rsidRPr="000B13EE" w:rsidRDefault="00346EB1" w:rsidP="00E63CAB">
      <w:pPr>
        <w:jc w:val="both"/>
        <w:rPr>
          <w:rFonts w:cs="Calibri"/>
          <w:b/>
          <w:szCs w:val="20"/>
        </w:rPr>
      </w:pP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XI.- Los convenios celebrados con instituciones públicas o privadas;</w:t>
      </w:r>
    </w:p>
    <w:p w:rsidR="00BB25F3" w:rsidRPr="000B13EE" w:rsidRDefault="00BB25F3" w:rsidP="00BB25F3">
      <w:pPr>
        <w:pStyle w:val="Sinespaciado"/>
      </w:pPr>
      <w:r w:rsidRPr="000B13EE">
        <w:t>No se emiten recomendaciones respecto a esta fracción.</w:t>
      </w:r>
    </w:p>
    <w:p w:rsidR="009D40C7" w:rsidRPr="000B13EE" w:rsidRDefault="009D40C7" w:rsidP="00E63CAB">
      <w:pPr>
        <w:jc w:val="both"/>
        <w:rPr>
          <w:rFonts w:cs="Calibri"/>
          <w:b/>
          <w:szCs w:val="20"/>
        </w:rPr>
      </w:pP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XII.- El padrón de proveedores;</w:t>
      </w:r>
    </w:p>
    <w:p w:rsidR="00BB25F3" w:rsidRPr="000B13EE" w:rsidRDefault="00BB25F3" w:rsidP="00BB25F3">
      <w:pPr>
        <w:pStyle w:val="Sinespaciado"/>
      </w:pPr>
      <w:r w:rsidRPr="000B13EE">
        <w:t>No se emiten recomendaciones respecto a esta fracción.</w:t>
      </w:r>
    </w:p>
    <w:p w:rsidR="00CC579D" w:rsidRPr="000B13EE" w:rsidRDefault="00CC579D" w:rsidP="00CC579D">
      <w:pPr>
        <w:pStyle w:val="Sinespaciado"/>
        <w:ind w:left="1070"/>
      </w:pP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XIII.- El padrón inmobiliario y el vehicular;</w:t>
      </w:r>
    </w:p>
    <w:p w:rsidR="00BB25F3" w:rsidRPr="000B13EE" w:rsidRDefault="00BB25F3" w:rsidP="00BB25F3">
      <w:pPr>
        <w:pStyle w:val="Sinespaciado"/>
        <w:numPr>
          <w:ilvl w:val="0"/>
          <w:numId w:val="41"/>
        </w:numPr>
      </w:pPr>
      <w:r w:rsidRPr="000B13EE">
        <w:t>Con respecto al padrón inmobiliario se recomienda incluir información adicional referente a  l</w:t>
      </w:r>
      <w:r w:rsidR="000B13EE" w:rsidRPr="000B13EE">
        <w:t>a</w:t>
      </w:r>
      <w:r w:rsidRPr="000B13EE">
        <w:t xml:space="preserve"> clave catastral,  y</w:t>
      </w:r>
    </w:p>
    <w:p w:rsidR="00BB25F3" w:rsidRPr="000B13EE" w:rsidRDefault="00BB25F3" w:rsidP="00BB25F3">
      <w:pPr>
        <w:pStyle w:val="Sinespaciado"/>
        <w:numPr>
          <w:ilvl w:val="0"/>
          <w:numId w:val="41"/>
        </w:numPr>
        <w:rPr>
          <w:b/>
        </w:rPr>
      </w:pPr>
      <w:r w:rsidRPr="000B13EE">
        <w:t>Domicilio (Calle, número, colonia, ciudad, código postal).</w:t>
      </w:r>
    </w:p>
    <w:p w:rsidR="000B13EE" w:rsidRPr="000B13EE" w:rsidRDefault="000B13EE" w:rsidP="00E63CAB">
      <w:pPr>
        <w:jc w:val="both"/>
        <w:rPr>
          <w:rFonts w:cs="Calibri"/>
          <w:b/>
          <w:szCs w:val="20"/>
        </w:rPr>
      </w:pP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lastRenderedPageBreak/>
        <w:t>XIV.- Las resoluciones de los procedimientos de responsabilidad administrativa, una vez que hayan causado estado;</w:t>
      </w:r>
    </w:p>
    <w:p w:rsidR="008A300B" w:rsidRPr="000B13EE" w:rsidRDefault="008A300B" w:rsidP="008A300B">
      <w:pPr>
        <w:pStyle w:val="Sinespaciado"/>
      </w:pPr>
      <w:r w:rsidRPr="000B13EE">
        <w:t>No se emiten recomendaciones respecto a esta fracción.</w:t>
      </w:r>
    </w:p>
    <w:p w:rsidR="00E34E70" w:rsidRPr="000B13EE" w:rsidRDefault="00E34E70" w:rsidP="00E63CAB">
      <w:pPr>
        <w:jc w:val="both"/>
        <w:rPr>
          <w:rFonts w:cs="Calibri"/>
          <w:b/>
          <w:szCs w:val="20"/>
        </w:rPr>
      </w:pP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XV.- Los montos asignados y criterios de acceso a los programas sociales;</w:t>
      </w:r>
    </w:p>
    <w:p w:rsidR="008A300B" w:rsidRPr="000B13EE" w:rsidRDefault="008A300B" w:rsidP="008A300B">
      <w:pPr>
        <w:pStyle w:val="Sinespaciado"/>
      </w:pPr>
      <w:r w:rsidRPr="000B13EE">
        <w:t>No se emiten recomendaciones respecto a esta fracción.</w:t>
      </w:r>
    </w:p>
    <w:p w:rsidR="005326F5" w:rsidRPr="000B13EE" w:rsidRDefault="005326F5" w:rsidP="00292E42">
      <w:pPr>
        <w:jc w:val="both"/>
      </w:pP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0B13EE" w:rsidRDefault="005326F5" w:rsidP="005326F5">
      <w:pPr>
        <w:pStyle w:val="Sinespaciado"/>
      </w:pPr>
      <w:r w:rsidRPr="000B13EE">
        <w:rPr>
          <w:b/>
        </w:rPr>
        <w:t>Nota</w:t>
      </w:r>
      <w:r w:rsidR="00304B8A" w:rsidRPr="000B13EE">
        <w:t xml:space="preserve">: ver recomendación general </w:t>
      </w:r>
      <w:r w:rsidR="008A300B" w:rsidRPr="000B13EE">
        <w:t>3</w:t>
      </w:r>
      <w:r w:rsidR="00304B8A" w:rsidRPr="000B13EE">
        <w:t>.</w:t>
      </w:r>
    </w:p>
    <w:p w:rsidR="00760A9F" w:rsidRPr="000B13EE" w:rsidRDefault="00760A9F" w:rsidP="00E63CAB">
      <w:pPr>
        <w:jc w:val="both"/>
        <w:rPr>
          <w:rFonts w:cs="Calibri"/>
          <w:b/>
          <w:szCs w:val="20"/>
        </w:rPr>
      </w:pP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a).- La justificación técnica y financiera;</w:t>
      </w:r>
      <w:r w:rsidR="00EC517B" w:rsidRPr="000B13EE">
        <w:rPr>
          <w:rFonts w:cs="Calibri"/>
          <w:b/>
          <w:szCs w:val="20"/>
        </w:rPr>
        <w:t xml:space="preserve"> </w:t>
      </w: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c).- En su caso, las modificaciones a las condiciones originales del contrato.</w:t>
      </w:r>
    </w:p>
    <w:p w:rsidR="00ED7B08" w:rsidRPr="000B13EE" w:rsidRDefault="00ED7B08" w:rsidP="00ED7B08">
      <w:pPr>
        <w:pStyle w:val="Prrafodelista"/>
        <w:numPr>
          <w:ilvl w:val="0"/>
          <w:numId w:val="42"/>
        </w:numPr>
        <w:jc w:val="both"/>
        <w:rPr>
          <w:rFonts w:cs="Calibri"/>
          <w:szCs w:val="20"/>
        </w:rPr>
      </w:pPr>
      <w:r w:rsidRPr="000B13EE">
        <w:rPr>
          <w:rFonts w:cs="Calibri"/>
          <w:szCs w:val="20"/>
        </w:rPr>
        <w:t>Se recomienda publicar las convocatorias a concurso o licitación pública para las obras públicas, concesiones, adquisiciones, enajenaciones, arrendamientos y prestación de servicios,</w:t>
      </w:r>
    </w:p>
    <w:p w:rsidR="00ED7B08" w:rsidRPr="000B13EE" w:rsidRDefault="00ED7B08" w:rsidP="00ED7B08">
      <w:pPr>
        <w:pStyle w:val="Prrafodelista"/>
        <w:numPr>
          <w:ilvl w:val="0"/>
          <w:numId w:val="42"/>
        </w:numPr>
        <w:jc w:val="both"/>
      </w:pPr>
      <w:r w:rsidRPr="000B13EE">
        <w:t>La justificación técnica y financiera;</w:t>
      </w:r>
    </w:p>
    <w:p w:rsidR="00ED7B08" w:rsidRPr="000B13EE" w:rsidRDefault="00ED7B08" w:rsidP="00ED7B08">
      <w:pPr>
        <w:pStyle w:val="Prrafodelista"/>
        <w:numPr>
          <w:ilvl w:val="0"/>
          <w:numId w:val="42"/>
        </w:numPr>
        <w:jc w:val="both"/>
      </w:pPr>
      <w:r w:rsidRPr="000B13EE">
        <w:t>Número de Identificación precisa del contrato y demás condiciones de cumplimiento; y</w:t>
      </w:r>
    </w:p>
    <w:p w:rsidR="00850933" w:rsidRPr="000B13EE" w:rsidRDefault="00ED7B08" w:rsidP="00E63CAB">
      <w:pPr>
        <w:pStyle w:val="Prrafodelista"/>
        <w:numPr>
          <w:ilvl w:val="0"/>
          <w:numId w:val="42"/>
        </w:numPr>
        <w:jc w:val="both"/>
      </w:pPr>
      <w:r w:rsidRPr="000B13EE">
        <w:t>En su caso, las modificaciones a las condiciones originales del contrato.</w:t>
      </w:r>
      <w:r w:rsidRPr="000B13EE">
        <w:tab/>
      </w:r>
    </w:p>
    <w:p w:rsidR="003C7827" w:rsidRPr="000B13EE" w:rsidRDefault="003C7827" w:rsidP="003C7827">
      <w:pPr>
        <w:pStyle w:val="Prrafodelista"/>
        <w:jc w:val="both"/>
      </w:pP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XVIII.- Las adjudicaciones directas, señalando los motivos y fundamentos legales aplicados;</w:t>
      </w:r>
    </w:p>
    <w:p w:rsidR="003C7827" w:rsidRPr="000B13EE" w:rsidRDefault="003C7827" w:rsidP="003C7827">
      <w:pPr>
        <w:pStyle w:val="Sinespaciado"/>
      </w:pPr>
      <w:r w:rsidRPr="000B13EE">
        <w:t>No se emiten recomendaciones respecto a esta fracción.</w:t>
      </w:r>
    </w:p>
    <w:p w:rsidR="00C00810" w:rsidRPr="000B13EE" w:rsidRDefault="00C00810" w:rsidP="00E63CAB">
      <w:pPr>
        <w:jc w:val="both"/>
        <w:rPr>
          <w:rFonts w:cs="Calibri"/>
          <w:b/>
          <w:szCs w:val="20"/>
        </w:rPr>
      </w:pPr>
    </w:p>
    <w:p w:rsidR="000B13EE" w:rsidRPr="000B13EE" w:rsidRDefault="000B13EE" w:rsidP="00E63CAB">
      <w:pPr>
        <w:jc w:val="both"/>
        <w:rPr>
          <w:rFonts w:cs="Calibri"/>
          <w:b/>
          <w:szCs w:val="20"/>
        </w:rPr>
      </w:pP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lastRenderedPageBreak/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0B13EE" w:rsidRDefault="00D02908" w:rsidP="00D02908">
      <w:pPr>
        <w:pStyle w:val="Sinespaciado"/>
      </w:pPr>
      <w:r w:rsidRPr="000B13EE">
        <w:t>No se emiten recomendaciones respecto a esta fracción.</w:t>
      </w:r>
    </w:p>
    <w:p w:rsidR="00C675EA" w:rsidRPr="000B13EE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0B13EE" w:rsidRDefault="00304B8A" w:rsidP="00304B8A">
      <w:pPr>
        <w:pStyle w:val="Sinespaciado"/>
      </w:pPr>
      <w:r w:rsidRPr="000B13EE">
        <w:rPr>
          <w:b/>
        </w:rPr>
        <w:t>Nota</w:t>
      </w:r>
      <w:r w:rsidRPr="000B13EE">
        <w:t xml:space="preserve">: ver recomendación </w:t>
      </w:r>
      <w:r w:rsidR="003C7827" w:rsidRPr="000B13EE">
        <w:t>general 2</w:t>
      </w:r>
      <w:r w:rsidRPr="000B13EE">
        <w:t>.</w:t>
      </w:r>
    </w:p>
    <w:p w:rsidR="00C675EA" w:rsidRPr="000B13EE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0B13EE" w:rsidRDefault="003C7827" w:rsidP="003C7827">
      <w:pPr>
        <w:pStyle w:val="Sinespaciado"/>
      </w:pPr>
      <w:r w:rsidRPr="000B13EE">
        <w:t>No se emiten recomendaciones respecto a esta fracción.</w:t>
      </w:r>
    </w:p>
    <w:p w:rsidR="006174ED" w:rsidRPr="000B13EE" w:rsidRDefault="006174ED" w:rsidP="006174ED">
      <w:pPr>
        <w:pStyle w:val="Sinespaciado"/>
        <w:jc w:val="both"/>
      </w:pPr>
    </w:p>
    <w:p w:rsidR="00C675EA" w:rsidRPr="000B13EE" w:rsidRDefault="006174ED" w:rsidP="006174ED">
      <w:pPr>
        <w:pStyle w:val="Sinespaciado"/>
        <w:jc w:val="both"/>
        <w:rPr>
          <w:rFonts w:cs="Calibri"/>
          <w:szCs w:val="20"/>
        </w:rPr>
      </w:pPr>
      <w:r w:rsidRPr="000B13EE">
        <w:t xml:space="preserve"> </w:t>
      </w: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0B13EE" w:rsidRDefault="00D22219" w:rsidP="00D22219">
      <w:pPr>
        <w:pStyle w:val="Sinespaciado"/>
      </w:pPr>
      <w:r w:rsidRPr="000B13EE">
        <w:t>No se emiten recomendaciones respecto a esta fracción.</w:t>
      </w:r>
    </w:p>
    <w:p w:rsidR="00C675EA" w:rsidRPr="000B13EE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0B13EE" w:rsidRDefault="00531C93" w:rsidP="00531C93">
      <w:pPr>
        <w:pStyle w:val="Sinespaciado"/>
      </w:pPr>
      <w:r w:rsidRPr="000B13EE">
        <w:rPr>
          <w:b/>
        </w:rPr>
        <w:t>Nota</w:t>
      </w:r>
      <w:r w:rsidRPr="000B13EE">
        <w:t xml:space="preserve">: ver recomendación </w:t>
      </w:r>
      <w:r w:rsidR="00292E42" w:rsidRPr="000B13EE">
        <w:t xml:space="preserve">general </w:t>
      </w:r>
      <w:r w:rsidR="007A4CE6" w:rsidRPr="000B13EE">
        <w:t>2</w:t>
      </w:r>
      <w:r w:rsidR="005226CC" w:rsidRPr="000B13EE">
        <w:t xml:space="preserve"> y </w:t>
      </w:r>
      <w:r w:rsidR="007A4CE6" w:rsidRPr="000B13EE">
        <w:t>4</w:t>
      </w:r>
      <w:r w:rsidRPr="000B13EE">
        <w:t>.</w:t>
      </w:r>
    </w:p>
    <w:p w:rsidR="00C675EA" w:rsidRPr="000B13EE" w:rsidRDefault="00C675EA" w:rsidP="00E63CAB">
      <w:pPr>
        <w:pStyle w:val="Prrafodelista"/>
        <w:ind w:left="1068"/>
        <w:jc w:val="both"/>
      </w:pP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0B13EE" w:rsidRDefault="00304B8A" w:rsidP="00304B8A">
      <w:pPr>
        <w:pStyle w:val="Sinespaciado"/>
      </w:pPr>
      <w:r w:rsidRPr="000B13EE">
        <w:rPr>
          <w:b/>
        </w:rPr>
        <w:t>Nota</w:t>
      </w:r>
      <w:r w:rsidRPr="000B13EE">
        <w:t xml:space="preserve">: ver recomendación </w:t>
      </w:r>
      <w:r w:rsidR="00292E42" w:rsidRPr="000B13EE">
        <w:t xml:space="preserve">general </w:t>
      </w:r>
      <w:r w:rsidR="007A4CE6" w:rsidRPr="000B13EE">
        <w:t>2</w:t>
      </w:r>
      <w:r w:rsidRPr="000B13EE">
        <w:t>.</w:t>
      </w:r>
    </w:p>
    <w:p w:rsidR="00837E23" w:rsidRPr="000B13EE" w:rsidRDefault="00837E23" w:rsidP="00283BD8">
      <w:pPr>
        <w:pStyle w:val="Sinespaciado"/>
      </w:pPr>
    </w:p>
    <w:p w:rsidR="005B668B" w:rsidRPr="000B13EE" w:rsidRDefault="005B668B" w:rsidP="00283BD8">
      <w:pPr>
        <w:pStyle w:val="Sinespaciado"/>
        <w:rPr>
          <w:sz w:val="23"/>
          <w:szCs w:val="23"/>
        </w:rPr>
      </w:pPr>
    </w:p>
    <w:p w:rsidR="00F15373" w:rsidRPr="000B13EE" w:rsidRDefault="00F15373" w:rsidP="00E63CAB">
      <w:pPr>
        <w:jc w:val="both"/>
        <w:rPr>
          <w:rFonts w:cs="Calibri"/>
          <w:b/>
          <w:szCs w:val="20"/>
        </w:rPr>
      </w:pPr>
      <w:r w:rsidRPr="000B13EE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0B13EE" w:rsidRDefault="00CA3303" w:rsidP="00982003">
      <w:pPr>
        <w:pStyle w:val="Sinespaciado"/>
      </w:pPr>
      <w:r w:rsidRPr="000B13EE">
        <w:t>No se emiten recomendaciones respecto a esta fracción.</w:t>
      </w:r>
    </w:p>
    <w:p w:rsidR="00C675EA" w:rsidRPr="000B13EE" w:rsidRDefault="00C675EA" w:rsidP="00E63CAB">
      <w:pPr>
        <w:jc w:val="both"/>
        <w:rPr>
          <w:rFonts w:cs="Calibri"/>
          <w:szCs w:val="20"/>
        </w:rPr>
      </w:pPr>
    </w:p>
    <w:p w:rsidR="007A4CE6" w:rsidRPr="000B13EE" w:rsidRDefault="007A4CE6" w:rsidP="00E63CAB">
      <w:pPr>
        <w:jc w:val="both"/>
        <w:rPr>
          <w:rFonts w:cs="Calibri"/>
          <w:szCs w:val="20"/>
        </w:rPr>
      </w:pPr>
    </w:p>
    <w:p w:rsidR="007A4CE6" w:rsidRPr="000B13EE" w:rsidRDefault="007A4CE6" w:rsidP="00E63CAB">
      <w:pPr>
        <w:jc w:val="both"/>
        <w:rPr>
          <w:rFonts w:cs="Calibri"/>
          <w:szCs w:val="20"/>
        </w:rPr>
      </w:pPr>
    </w:p>
    <w:p w:rsidR="006F338F" w:rsidRPr="000B13EE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0B13EE">
        <w:rPr>
          <w:rFonts w:asciiTheme="minorHAnsi" w:hAnsiTheme="minorHAnsi" w:cstheme="minorHAnsi"/>
          <w:b/>
          <w:szCs w:val="20"/>
        </w:rPr>
        <w:lastRenderedPageBreak/>
        <w:t>Artículo 14.- Además de lo previsto en el artículo 11 que le resulte aplicable, el Poder Ejecutivo del Estado deberá dar a conocer:</w:t>
      </w:r>
    </w:p>
    <w:p w:rsidR="004353DB" w:rsidRPr="000B13EE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0B13EE">
        <w:rPr>
          <w:b/>
          <w:bCs/>
          <w:sz w:val="23"/>
          <w:szCs w:val="23"/>
        </w:rPr>
        <w:t xml:space="preserve">I.- </w:t>
      </w:r>
      <w:r w:rsidRPr="000B13EE">
        <w:rPr>
          <w:b/>
          <w:sz w:val="23"/>
          <w:szCs w:val="23"/>
        </w:rPr>
        <w:t>El Plan Estatal de Desarrollo;</w:t>
      </w:r>
    </w:p>
    <w:p w:rsidR="004353DB" w:rsidRPr="000B13EE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0B13EE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0B13E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0B13E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0B13EE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0B13E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B13EE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0B13E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0B13EE" w:rsidRDefault="003E7599" w:rsidP="003E7599">
      <w:pPr>
        <w:pStyle w:val="Sinespaciado"/>
      </w:pPr>
      <w:r w:rsidRPr="000B13EE">
        <w:rPr>
          <w:b/>
        </w:rPr>
        <w:t>Nota</w:t>
      </w:r>
      <w:r w:rsidRPr="000B13EE">
        <w:t>: ver recomendación general</w:t>
      </w:r>
      <w:r w:rsidR="005226CC" w:rsidRPr="000B13EE">
        <w:t xml:space="preserve"> </w:t>
      </w:r>
      <w:r w:rsidR="00730666" w:rsidRPr="000B13EE">
        <w:t>5</w:t>
      </w:r>
      <w:r w:rsidRPr="000B13EE">
        <w:t>.</w:t>
      </w:r>
    </w:p>
    <w:p w:rsidR="006F338F" w:rsidRPr="000B13E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0B13EE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0B13E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B13EE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0B13E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0B13EE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0B13E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0B13EE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0B13E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B13EE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0B13E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0B13EE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0B13E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0B13EE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0B13E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B13EE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0B13E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0B13EE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0B13EE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0B13EE">
        <w:rPr>
          <w:rFonts w:asciiTheme="minorHAnsi" w:hAnsiTheme="minorHAnsi" w:cstheme="minorHAnsi"/>
          <w:szCs w:val="20"/>
        </w:rPr>
        <w:t>.</w:t>
      </w:r>
    </w:p>
    <w:p w:rsidR="00C675EA" w:rsidRPr="000B13EE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0B13E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0B13E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B13EE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0B13E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D62DB" w:rsidRPr="000B13EE" w:rsidRDefault="007D62DB" w:rsidP="007D62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0B13EE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0B13EE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0B13EE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0B13EE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0B13EE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0B13EE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0B13EE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0B13EE">
        <w:rPr>
          <w:rFonts w:asciiTheme="minorHAnsi" w:hAnsiTheme="minorHAnsi" w:cstheme="minorHAnsi"/>
          <w:b/>
          <w:sz w:val="24"/>
        </w:rPr>
        <w:t>NDENCIA</w:t>
      </w:r>
      <w:r w:rsidR="00093631" w:rsidRPr="000B13EE">
        <w:rPr>
          <w:rFonts w:asciiTheme="minorHAnsi" w:hAnsiTheme="minorHAnsi" w:cstheme="minorHAnsi"/>
          <w:b/>
          <w:sz w:val="24"/>
        </w:rPr>
        <w:t>:</w:t>
      </w:r>
      <w:r w:rsidR="00AB6483" w:rsidRPr="000B13EE">
        <w:rPr>
          <w:rFonts w:asciiTheme="minorHAnsi" w:hAnsiTheme="minorHAnsi" w:cstheme="minorHAnsi"/>
          <w:b/>
          <w:sz w:val="24"/>
        </w:rPr>
        <w:t xml:space="preserve"> </w:t>
      </w:r>
      <w:r w:rsidR="007D62DB" w:rsidRPr="000B13EE">
        <w:rPr>
          <w:rFonts w:asciiTheme="minorHAnsi" w:hAnsiTheme="minorHAnsi" w:cstheme="minorHAnsi"/>
          <w:b/>
          <w:sz w:val="24"/>
        </w:rPr>
        <w:t>10</w:t>
      </w:r>
    </w:p>
    <w:p w:rsidR="00093631" w:rsidRPr="000B13EE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9E0D0D" w:rsidRPr="00FE46FF" w:rsidRDefault="00093631" w:rsidP="000B13E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</w:rPr>
      </w:pPr>
      <w:r w:rsidRPr="000B13EE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0D7B7E" w:rsidRPr="000B13EE">
        <w:rPr>
          <w:rFonts w:asciiTheme="minorHAnsi" w:hAnsiTheme="minorHAnsi" w:cstheme="minorHAnsi"/>
          <w:b/>
          <w:sz w:val="24"/>
        </w:rPr>
        <w:t>5</w:t>
      </w:r>
    </w:p>
    <w:sectPr w:rsidR="009E0D0D" w:rsidRPr="00FE46FF" w:rsidSect="00D83651">
      <w:headerReference w:type="default" r:id="rId9"/>
      <w:footerReference w:type="default" r:id="rId10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8EE" w:rsidRDefault="003158EE" w:rsidP="000F1546">
      <w:pPr>
        <w:spacing w:after="0" w:line="240" w:lineRule="auto"/>
      </w:pPr>
      <w:r>
        <w:separator/>
      </w:r>
    </w:p>
  </w:endnote>
  <w:endnote w:type="continuationSeparator" w:id="0">
    <w:p w:rsidR="003158EE" w:rsidRDefault="003158EE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7F6583">
            <w:rPr>
              <w:rFonts w:ascii="Cambria" w:hAnsi="Cambria"/>
              <w:sz w:val="16"/>
            </w:rPr>
            <w:t>3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3158EE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3158EE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654093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B94616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3158EE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8EE" w:rsidRDefault="003158EE" w:rsidP="000F1546">
      <w:pPr>
        <w:spacing w:after="0" w:line="240" w:lineRule="auto"/>
      </w:pPr>
      <w:r>
        <w:separator/>
      </w:r>
    </w:p>
  </w:footnote>
  <w:footnote w:type="continuationSeparator" w:id="0">
    <w:p w:rsidR="003158EE" w:rsidRDefault="003158EE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04C0255"/>
    <w:multiLevelType w:val="hybridMultilevel"/>
    <w:tmpl w:val="7116EFF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D6BE7"/>
    <w:multiLevelType w:val="hybridMultilevel"/>
    <w:tmpl w:val="AF4201C8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E1490"/>
    <w:multiLevelType w:val="hybridMultilevel"/>
    <w:tmpl w:val="7A8CD37E"/>
    <w:lvl w:ilvl="0" w:tplc="3D2087C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A35114"/>
    <w:multiLevelType w:val="hybridMultilevel"/>
    <w:tmpl w:val="4426BA3E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5"/>
  </w:num>
  <w:num w:numId="3">
    <w:abstractNumId w:val="11"/>
  </w:num>
  <w:num w:numId="4">
    <w:abstractNumId w:val="31"/>
  </w:num>
  <w:num w:numId="5">
    <w:abstractNumId w:val="28"/>
  </w:num>
  <w:num w:numId="6">
    <w:abstractNumId w:val="16"/>
  </w:num>
  <w:num w:numId="7">
    <w:abstractNumId w:val="7"/>
  </w:num>
  <w:num w:numId="8">
    <w:abstractNumId w:val="26"/>
  </w:num>
  <w:num w:numId="9">
    <w:abstractNumId w:val="29"/>
  </w:num>
  <w:num w:numId="10">
    <w:abstractNumId w:val="10"/>
  </w:num>
  <w:num w:numId="11">
    <w:abstractNumId w:val="42"/>
  </w:num>
  <w:num w:numId="12">
    <w:abstractNumId w:val="9"/>
  </w:num>
  <w:num w:numId="13">
    <w:abstractNumId w:val="30"/>
  </w:num>
  <w:num w:numId="14">
    <w:abstractNumId w:val="23"/>
  </w:num>
  <w:num w:numId="15">
    <w:abstractNumId w:val="33"/>
  </w:num>
  <w:num w:numId="16">
    <w:abstractNumId w:val="17"/>
  </w:num>
  <w:num w:numId="17">
    <w:abstractNumId w:val="15"/>
  </w:num>
  <w:num w:numId="18">
    <w:abstractNumId w:val="12"/>
  </w:num>
  <w:num w:numId="19">
    <w:abstractNumId w:val="40"/>
  </w:num>
  <w:num w:numId="20">
    <w:abstractNumId w:val="41"/>
  </w:num>
  <w:num w:numId="21">
    <w:abstractNumId w:val="4"/>
  </w:num>
  <w:num w:numId="22">
    <w:abstractNumId w:val="35"/>
  </w:num>
  <w:num w:numId="23">
    <w:abstractNumId w:val="36"/>
  </w:num>
  <w:num w:numId="24">
    <w:abstractNumId w:val="3"/>
  </w:num>
  <w:num w:numId="25">
    <w:abstractNumId w:val="19"/>
  </w:num>
  <w:num w:numId="26">
    <w:abstractNumId w:val="8"/>
  </w:num>
  <w:num w:numId="27">
    <w:abstractNumId w:val="18"/>
  </w:num>
  <w:num w:numId="28">
    <w:abstractNumId w:val="39"/>
  </w:num>
  <w:num w:numId="29">
    <w:abstractNumId w:val="37"/>
  </w:num>
  <w:num w:numId="30">
    <w:abstractNumId w:val="5"/>
  </w:num>
  <w:num w:numId="31">
    <w:abstractNumId w:val="32"/>
  </w:num>
  <w:num w:numId="32">
    <w:abstractNumId w:val="0"/>
  </w:num>
  <w:num w:numId="33">
    <w:abstractNumId w:val="6"/>
  </w:num>
  <w:num w:numId="34">
    <w:abstractNumId w:val="2"/>
  </w:num>
  <w:num w:numId="35">
    <w:abstractNumId w:val="34"/>
  </w:num>
  <w:num w:numId="36">
    <w:abstractNumId w:val="20"/>
  </w:num>
  <w:num w:numId="37">
    <w:abstractNumId w:val="13"/>
  </w:num>
  <w:num w:numId="38">
    <w:abstractNumId w:val="1"/>
  </w:num>
  <w:num w:numId="39">
    <w:abstractNumId w:val="38"/>
  </w:num>
  <w:num w:numId="40">
    <w:abstractNumId w:val="24"/>
  </w:num>
  <w:num w:numId="41">
    <w:abstractNumId w:val="14"/>
  </w:num>
  <w:num w:numId="42">
    <w:abstractNumId w:val="21"/>
  </w:num>
  <w:num w:numId="43">
    <w:abstractNumId w:val="2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151C6"/>
    <w:rsid w:val="0002347A"/>
    <w:rsid w:val="00023815"/>
    <w:rsid w:val="000279D1"/>
    <w:rsid w:val="00034977"/>
    <w:rsid w:val="00045A96"/>
    <w:rsid w:val="00047548"/>
    <w:rsid w:val="00052225"/>
    <w:rsid w:val="000560C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3631"/>
    <w:rsid w:val="000A0BB8"/>
    <w:rsid w:val="000B0BD9"/>
    <w:rsid w:val="000B13EE"/>
    <w:rsid w:val="000B1CDD"/>
    <w:rsid w:val="000B74E2"/>
    <w:rsid w:val="000C6315"/>
    <w:rsid w:val="000D336D"/>
    <w:rsid w:val="000D3987"/>
    <w:rsid w:val="000D3BCC"/>
    <w:rsid w:val="000D5CB0"/>
    <w:rsid w:val="000D7B7E"/>
    <w:rsid w:val="000E31E5"/>
    <w:rsid w:val="000F1546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51F92"/>
    <w:rsid w:val="00171EA9"/>
    <w:rsid w:val="00173263"/>
    <w:rsid w:val="00176A3F"/>
    <w:rsid w:val="00182350"/>
    <w:rsid w:val="001849C3"/>
    <w:rsid w:val="001A0E69"/>
    <w:rsid w:val="001A1DFF"/>
    <w:rsid w:val="001A2C21"/>
    <w:rsid w:val="001A4A6D"/>
    <w:rsid w:val="001B0BB4"/>
    <w:rsid w:val="001B55B2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F1FE4"/>
    <w:rsid w:val="001F49D1"/>
    <w:rsid w:val="001F6017"/>
    <w:rsid w:val="001F7E57"/>
    <w:rsid w:val="002002DF"/>
    <w:rsid w:val="00201C30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10D3C"/>
    <w:rsid w:val="00314A7A"/>
    <w:rsid w:val="003156CF"/>
    <w:rsid w:val="003158EE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20C70"/>
    <w:rsid w:val="004353DB"/>
    <w:rsid w:val="0043738C"/>
    <w:rsid w:val="004423F9"/>
    <w:rsid w:val="004468CF"/>
    <w:rsid w:val="00447F79"/>
    <w:rsid w:val="00454968"/>
    <w:rsid w:val="004566FE"/>
    <w:rsid w:val="00460BBE"/>
    <w:rsid w:val="004725C3"/>
    <w:rsid w:val="0047715B"/>
    <w:rsid w:val="00481A36"/>
    <w:rsid w:val="00483324"/>
    <w:rsid w:val="00491235"/>
    <w:rsid w:val="00491CB8"/>
    <w:rsid w:val="00492E9A"/>
    <w:rsid w:val="00494F3C"/>
    <w:rsid w:val="004A12F3"/>
    <w:rsid w:val="004A55E3"/>
    <w:rsid w:val="004A6EAC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637B"/>
    <w:rsid w:val="00563858"/>
    <w:rsid w:val="00572019"/>
    <w:rsid w:val="00583DDF"/>
    <w:rsid w:val="005846F7"/>
    <w:rsid w:val="00585CCF"/>
    <w:rsid w:val="00586343"/>
    <w:rsid w:val="00587000"/>
    <w:rsid w:val="005A1A9A"/>
    <w:rsid w:val="005A4710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FB5"/>
    <w:rsid w:val="005E7894"/>
    <w:rsid w:val="005F7355"/>
    <w:rsid w:val="00601406"/>
    <w:rsid w:val="006127BD"/>
    <w:rsid w:val="00612D5E"/>
    <w:rsid w:val="00612EEE"/>
    <w:rsid w:val="006174ED"/>
    <w:rsid w:val="00620723"/>
    <w:rsid w:val="0062393B"/>
    <w:rsid w:val="006252BA"/>
    <w:rsid w:val="00631719"/>
    <w:rsid w:val="00634025"/>
    <w:rsid w:val="00643660"/>
    <w:rsid w:val="00652CF9"/>
    <w:rsid w:val="00654093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B4414"/>
    <w:rsid w:val="007B44A3"/>
    <w:rsid w:val="007B6B19"/>
    <w:rsid w:val="007C4B76"/>
    <w:rsid w:val="007C5FBA"/>
    <w:rsid w:val="007C7FAE"/>
    <w:rsid w:val="007D0967"/>
    <w:rsid w:val="007D2982"/>
    <w:rsid w:val="007D53D9"/>
    <w:rsid w:val="007D62DB"/>
    <w:rsid w:val="007D70A4"/>
    <w:rsid w:val="007E44FF"/>
    <w:rsid w:val="007F0EF1"/>
    <w:rsid w:val="007F2FCC"/>
    <w:rsid w:val="007F6583"/>
    <w:rsid w:val="00801668"/>
    <w:rsid w:val="0080367B"/>
    <w:rsid w:val="00803FF2"/>
    <w:rsid w:val="00805123"/>
    <w:rsid w:val="008125A0"/>
    <w:rsid w:val="008151C4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81E89"/>
    <w:rsid w:val="008831F6"/>
    <w:rsid w:val="00890F92"/>
    <w:rsid w:val="00896310"/>
    <w:rsid w:val="008A1548"/>
    <w:rsid w:val="008A300B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501D"/>
    <w:rsid w:val="00B81024"/>
    <w:rsid w:val="00B81C58"/>
    <w:rsid w:val="00B83668"/>
    <w:rsid w:val="00B84545"/>
    <w:rsid w:val="00B91A24"/>
    <w:rsid w:val="00B9273F"/>
    <w:rsid w:val="00B92E24"/>
    <w:rsid w:val="00B94616"/>
    <w:rsid w:val="00BA044F"/>
    <w:rsid w:val="00BA1DBE"/>
    <w:rsid w:val="00BA5E92"/>
    <w:rsid w:val="00BB05AD"/>
    <w:rsid w:val="00BB25F3"/>
    <w:rsid w:val="00BB40F1"/>
    <w:rsid w:val="00BC1871"/>
    <w:rsid w:val="00BC38B3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43BB0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4A86"/>
    <w:rsid w:val="00CC1E7D"/>
    <w:rsid w:val="00CC579D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45E5"/>
    <w:rsid w:val="00DD50EC"/>
    <w:rsid w:val="00DE10AD"/>
    <w:rsid w:val="00DE4CB3"/>
    <w:rsid w:val="00DE6FBE"/>
    <w:rsid w:val="00DF693D"/>
    <w:rsid w:val="00E003F8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F031C8"/>
    <w:rsid w:val="00F03BAF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F0D"/>
    <w:rsid w:val="00FD44FC"/>
    <w:rsid w:val="00FD529A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acalifornia.gob.mx/bcfiscal/2012/transparencia_fiscal/costos_operativos/sueldos_funcionario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A9889-DE6B-48B7-AB90-0754BA86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6</Pages>
  <Words>1384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284</cp:revision>
  <cp:lastPrinted>2015-02-19T20:44:00Z</cp:lastPrinted>
  <dcterms:created xsi:type="dcterms:W3CDTF">2015-06-26T16:37:00Z</dcterms:created>
  <dcterms:modified xsi:type="dcterms:W3CDTF">2015-08-04T20:51:00Z</dcterms:modified>
</cp:coreProperties>
</file>