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0B" w:rsidRPr="00BB7EAF" w:rsidRDefault="00454968" w:rsidP="00BB7EAF">
      <w:pPr>
        <w:jc w:val="center"/>
        <w:rPr>
          <w:rFonts w:asciiTheme="minorHAnsi" w:hAnsiTheme="minorHAnsi" w:cstheme="minorHAnsi"/>
          <w:b/>
          <w:szCs w:val="20"/>
        </w:rPr>
      </w:pPr>
      <w:r w:rsidRPr="00BB7EAF">
        <w:rPr>
          <w:rFonts w:asciiTheme="minorHAnsi" w:hAnsiTheme="minorHAnsi" w:cstheme="minorHAnsi"/>
          <w:b/>
        </w:rPr>
        <w:t>RECOMENDACIONES DERIVADAS DEL PROCESO DE EVALUACION DE LA INFORMACIÓN PÚBLICA DE OFICIO QUE DEBEN DAR A CONOCER LOS SUJETOS OBLIGADOS EN SUS PORTALES DE OBLIGACIONES DE TRANSPARENCIA*</w:t>
      </w:r>
    </w:p>
    <w:p w:rsidR="004468CF" w:rsidRPr="00BB7EAF" w:rsidRDefault="004468CF" w:rsidP="00BB7EAF">
      <w:pPr>
        <w:tabs>
          <w:tab w:val="left" w:pos="2190"/>
          <w:tab w:val="center" w:pos="4606"/>
        </w:tabs>
        <w:jc w:val="center"/>
        <w:rPr>
          <w:rFonts w:asciiTheme="minorHAnsi" w:hAnsiTheme="minorHAnsi" w:cstheme="minorHAnsi"/>
          <w:b/>
          <w:szCs w:val="20"/>
        </w:rPr>
      </w:pPr>
    </w:p>
    <w:p w:rsidR="00740A0B" w:rsidRPr="00BB7EAF" w:rsidRDefault="001D66C2" w:rsidP="00BB7EAF">
      <w:pPr>
        <w:tabs>
          <w:tab w:val="left" w:pos="2190"/>
          <w:tab w:val="center" w:pos="4606"/>
        </w:tabs>
        <w:jc w:val="center"/>
        <w:rPr>
          <w:rFonts w:asciiTheme="minorHAnsi" w:hAnsiTheme="minorHAnsi" w:cstheme="minorHAnsi"/>
          <w:b/>
          <w:szCs w:val="20"/>
        </w:rPr>
      </w:pPr>
      <w:r w:rsidRPr="00BB7EAF">
        <w:rPr>
          <w:rFonts w:asciiTheme="minorHAnsi" w:hAnsiTheme="minorHAnsi" w:cstheme="minorHAnsi"/>
          <w:b/>
          <w:szCs w:val="20"/>
        </w:rPr>
        <w:t xml:space="preserve">SECRETARIA DE </w:t>
      </w:r>
      <w:r w:rsidR="00C40F24" w:rsidRPr="00BB7EAF">
        <w:rPr>
          <w:rFonts w:asciiTheme="minorHAnsi" w:hAnsiTheme="minorHAnsi" w:cstheme="minorHAnsi"/>
          <w:b/>
          <w:szCs w:val="20"/>
        </w:rPr>
        <w:t>EDUCACION Y BIENESTAR SOCIAL</w:t>
      </w:r>
    </w:p>
    <w:p w:rsidR="00740A0B" w:rsidRPr="00BB7EAF" w:rsidRDefault="00740A0B" w:rsidP="00BB7EAF">
      <w:pPr>
        <w:jc w:val="center"/>
        <w:rPr>
          <w:rFonts w:asciiTheme="minorHAnsi" w:hAnsiTheme="minorHAnsi" w:cstheme="minorHAnsi"/>
          <w:b/>
          <w:szCs w:val="20"/>
        </w:rPr>
      </w:pPr>
    </w:p>
    <w:p w:rsidR="00B61AA3" w:rsidRPr="00BB7EAF" w:rsidRDefault="00B61AA3" w:rsidP="00BB7EAF">
      <w:pPr>
        <w:jc w:val="center"/>
        <w:rPr>
          <w:rFonts w:asciiTheme="minorHAnsi" w:hAnsiTheme="minorHAnsi"/>
          <w:b/>
        </w:rPr>
      </w:pPr>
      <w:r w:rsidRPr="00BB7EAF">
        <w:rPr>
          <w:rFonts w:asciiTheme="minorHAnsi" w:hAnsiTheme="minorHAnsi" w:cstheme="minorHAnsi"/>
          <w:b/>
          <w:szCs w:val="20"/>
        </w:rPr>
        <w:t>2do. trimestre 2014</w:t>
      </w:r>
    </w:p>
    <w:p w:rsidR="00F15373" w:rsidRPr="00BB7EAF" w:rsidRDefault="00F15373" w:rsidP="00BB7EAF">
      <w:pPr>
        <w:jc w:val="center"/>
        <w:rPr>
          <w:rFonts w:cs="Calibri"/>
          <w:b/>
        </w:rPr>
      </w:pPr>
    </w:p>
    <w:p w:rsidR="00F15373" w:rsidRPr="00BB7EAF" w:rsidRDefault="00F15373" w:rsidP="00BB7EAF">
      <w:pPr>
        <w:jc w:val="both"/>
        <w:rPr>
          <w:rFonts w:cs="Calibri"/>
          <w:b/>
          <w:szCs w:val="20"/>
        </w:rPr>
      </w:pPr>
      <w:r w:rsidRPr="00BB7EAF">
        <w:rPr>
          <w:rFonts w:cs="Calibri"/>
          <w:b/>
          <w:szCs w:val="20"/>
        </w:rPr>
        <w:t>Artículo 11.- Los sujetos obligados deberán, de oficio, poner a disposición del público, la siguiente información:</w:t>
      </w:r>
    </w:p>
    <w:p w:rsidR="00385F29" w:rsidRPr="00BB7EAF" w:rsidRDefault="00385F29" w:rsidP="00BB7EAF">
      <w:pPr>
        <w:jc w:val="both"/>
        <w:rPr>
          <w:rFonts w:cs="Calibri"/>
          <w:b/>
          <w:szCs w:val="20"/>
        </w:rPr>
      </w:pPr>
    </w:p>
    <w:p w:rsidR="00F15373" w:rsidRPr="00BB7EAF" w:rsidRDefault="00F15373" w:rsidP="00BB7EAF">
      <w:pPr>
        <w:jc w:val="both"/>
        <w:rPr>
          <w:rFonts w:cs="Calibri"/>
          <w:b/>
          <w:szCs w:val="20"/>
        </w:rPr>
      </w:pPr>
      <w:r w:rsidRPr="00BB7EAF">
        <w:rPr>
          <w:rFonts w:cs="Calibri"/>
          <w:b/>
          <w:szCs w:val="20"/>
        </w:rPr>
        <w:t>I.- Sus facultades y los indicadores de gestión utilizados para evaluar su desempeño, metas y objetivos de sus programas operativos;</w:t>
      </w:r>
    </w:p>
    <w:p w:rsidR="00385F29" w:rsidRPr="00BB7EAF" w:rsidRDefault="00385F29" w:rsidP="00BB7EAF">
      <w:pPr>
        <w:pStyle w:val="Sinespaciado"/>
      </w:pPr>
      <w:r w:rsidRPr="00BB7EAF">
        <w:t>No se emiten recomendaciones respecto a esta fracción.</w:t>
      </w:r>
    </w:p>
    <w:p w:rsidR="00D33CA0" w:rsidRPr="00BB7EAF" w:rsidRDefault="00D33CA0" w:rsidP="00BB7EAF">
      <w:pPr>
        <w:pStyle w:val="Prrafodelista"/>
        <w:ind w:left="1068"/>
        <w:jc w:val="both"/>
        <w:rPr>
          <w:rFonts w:cs="Calibri"/>
          <w:szCs w:val="20"/>
        </w:rPr>
      </w:pPr>
    </w:p>
    <w:p w:rsidR="00F15373" w:rsidRPr="00BB7EAF" w:rsidRDefault="00F15373" w:rsidP="00BB7EAF">
      <w:pPr>
        <w:jc w:val="both"/>
        <w:rPr>
          <w:rFonts w:cs="Calibri"/>
          <w:b/>
          <w:szCs w:val="20"/>
        </w:rPr>
      </w:pPr>
      <w:r w:rsidRPr="00BB7EAF">
        <w:rPr>
          <w:rFonts w:cs="Calibri"/>
          <w:b/>
          <w:szCs w:val="20"/>
        </w:rPr>
        <w:t>II.- Su estructura orgánica;</w:t>
      </w:r>
    </w:p>
    <w:p w:rsidR="004A6EAC" w:rsidRPr="00BB7EAF" w:rsidRDefault="004D2439" w:rsidP="00BB7EAF">
      <w:pPr>
        <w:pStyle w:val="Prrafodelista"/>
        <w:numPr>
          <w:ilvl w:val="0"/>
          <w:numId w:val="42"/>
        </w:numPr>
        <w:jc w:val="both"/>
        <w:rPr>
          <w:rFonts w:cs="Calibri"/>
          <w:szCs w:val="20"/>
        </w:rPr>
      </w:pPr>
      <w:r w:rsidRPr="00BB7EAF">
        <w:rPr>
          <w:rFonts w:cs="Calibri"/>
          <w:szCs w:val="20"/>
        </w:rPr>
        <w:t>Se recomienda incorporar la totalidad de las unidades administrativas señaladas en el Reglamento Interno.</w:t>
      </w:r>
      <w:r w:rsidR="00C0055C" w:rsidRPr="00BB7EAF">
        <w:rPr>
          <w:rFonts w:cs="Calibri"/>
          <w:szCs w:val="20"/>
        </w:rPr>
        <w:t xml:space="preserve"> </w:t>
      </w:r>
      <w:r w:rsidR="00C0055C" w:rsidRPr="00BB7EAF">
        <w:rPr>
          <w:rFonts w:cs="Calibri"/>
          <w:b/>
          <w:szCs w:val="20"/>
        </w:rPr>
        <w:t>NO ATENDIDA</w:t>
      </w:r>
    </w:p>
    <w:p w:rsidR="002840C4" w:rsidRPr="00BB7EAF" w:rsidRDefault="002840C4" w:rsidP="00BB7EAF">
      <w:pPr>
        <w:jc w:val="both"/>
        <w:rPr>
          <w:rFonts w:cs="Calibri"/>
          <w:b/>
          <w:szCs w:val="20"/>
        </w:rPr>
      </w:pPr>
    </w:p>
    <w:p w:rsidR="00F15373" w:rsidRPr="00BB7EAF" w:rsidRDefault="00F15373" w:rsidP="00BB7EAF">
      <w:pPr>
        <w:jc w:val="both"/>
        <w:rPr>
          <w:rFonts w:cs="Calibri"/>
          <w:b/>
          <w:szCs w:val="20"/>
        </w:rPr>
      </w:pPr>
      <w:r w:rsidRPr="00BB7EAF">
        <w:rPr>
          <w:rFonts w:cs="Calibri"/>
          <w:b/>
          <w:szCs w:val="20"/>
        </w:rPr>
        <w:t>III.- La información curricular de los servidores públicos, desde el nivel de jefe de departamento o sus equivalentes hasta el nivel del funcionario de mayor jerarquía;</w:t>
      </w:r>
    </w:p>
    <w:p w:rsidR="004A6EAC" w:rsidRPr="00BB7EAF" w:rsidRDefault="00A346C5" w:rsidP="00BB7EAF">
      <w:pPr>
        <w:pStyle w:val="Prrafodelista"/>
        <w:numPr>
          <w:ilvl w:val="0"/>
          <w:numId w:val="36"/>
        </w:numPr>
        <w:jc w:val="both"/>
        <w:rPr>
          <w:rFonts w:cs="Calibri"/>
          <w:b/>
          <w:sz w:val="18"/>
          <w:szCs w:val="20"/>
        </w:rPr>
      </w:pPr>
      <w:r w:rsidRPr="00BB7EAF">
        <w:rPr>
          <w:rFonts w:cs="Calibri"/>
          <w:szCs w:val="20"/>
        </w:rPr>
        <w:t>Se recomienda incorporar en el listado la totalidad de los currículos de los servidores públicos desde el nivel de  jefe de departamento o equivalente hasta el nivel del funcionario de mayor jerarquía.</w:t>
      </w:r>
      <w:r w:rsidR="004A6EAC" w:rsidRPr="00BB7EAF">
        <w:rPr>
          <w:rFonts w:cs="Calibri"/>
          <w:b/>
          <w:sz w:val="18"/>
          <w:szCs w:val="20"/>
        </w:rPr>
        <w:t xml:space="preserve"> </w:t>
      </w:r>
      <w:r w:rsidR="003474CA" w:rsidRPr="00BB7EAF">
        <w:rPr>
          <w:rFonts w:cs="Calibri"/>
          <w:b/>
          <w:szCs w:val="20"/>
        </w:rPr>
        <w:t>NO ATENDIDA</w:t>
      </w:r>
    </w:p>
    <w:p w:rsidR="00751D66" w:rsidRPr="00BB7EAF" w:rsidRDefault="00751D66" w:rsidP="00BB7EAF">
      <w:pPr>
        <w:jc w:val="both"/>
        <w:rPr>
          <w:rFonts w:cs="Calibri"/>
          <w:b/>
          <w:sz w:val="18"/>
          <w:szCs w:val="20"/>
        </w:rPr>
      </w:pPr>
    </w:p>
    <w:p w:rsidR="00751D66" w:rsidRPr="00BB7EAF" w:rsidRDefault="00751D66" w:rsidP="00BB7EAF">
      <w:pPr>
        <w:jc w:val="both"/>
        <w:rPr>
          <w:rFonts w:cs="Calibri"/>
          <w:b/>
          <w:sz w:val="18"/>
          <w:szCs w:val="20"/>
        </w:rPr>
      </w:pPr>
    </w:p>
    <w:p w:rsidR="00363722" w:rsidRPr="00BB7EAF" w:rsidRDefault="004A6EAC" w:rsidP="00BB7EAF">
      <w:pPr>
        <w:jc w:val="both"/>
        <w:rPr>
          <w:rFonts w:cs="Calibri"/>
          <w:sz w:val="18"/>
          <w:szCs w:val="20"/>
        </w:rPr>
      </w:pPr>
      <w:r w:rsidRPr="00BB7EAF">
        <w:rPr>
          <w:rFonts w:cs="Calibri"/>
          <w:b/>
          <w:sz w:val="18"/>
          <w:szCs w:val="20"/>
        </w:rPr>
        <w:t>NOTA</w:t>
      </w:r>
      <w:r w:rsidRPr="00BB7EAF">
        <w:rPr>
          <w:rFonts w:cs="Calibri"/>
          <w:sz w:val="18"/>
          <w:szCs w:val="20"/>
        </w:rPr>
        <w:t xml:space="preserve">: Con base en la Guía Referencial de Criterios para la Interpretación y Evaluación de la Información </w:t>
      </w:r>
      <w:r w:rsidR="00123478" w:rsidRPr="00BB7EAF">
        <w:rPr>
          <w:rFonts w:cs="Calibri"/>
          <w:sz w:val="18"/>
          <w:szCs w:val="20"/>
        </w:rPr>
        <w:t>Pública</w:t>
      </w:r>
      <w:r w:rsidRPr="00BB7EAF">
        <w:rPr>
          <w:rFonts w:cs="Calibri"/>
          <w:sz w:val="18"/>
          <w:szCs w:val="20"/>
        </w:rPr>
        <w:t xml:space="preserve"> de Oficio señalada en el </w:t>
      </w:r>
      <w:r w:rsidR="00123478" w:rsidRPr="00BB7EAF">
        <w:rPr>
          <w:rFonts w:cs="Calibri"/>
          <w:sz w:val="18"/>
          <w:szCs w:val="20"/>
        </w:rPr>
        <w:t>Artículo</w:t>
      </w:r>
      <w:r w:rsidRPr="00BB7EAF">
        <w:rPr>
          <w:rFonts w:cs="Calibri"/>
          <w:sz w:val="18"/>
          <w:szCs w:val="20"/>
        </w:rPr>
        <w:t xml:space="preserve"> 11 de la LTAIPBC.</w:t>
      </w:r>
    </w:p>
    <w:p w:rsidR="00F15373" w:rsidRPr="00BB7EAF" w:rsidRDefault="00F15373" w:rsidP="00BB7EAF">
      <w:pPr>
        <w:jc w:val="both"/>
        <w:rPr>
          <w:rFonts w:cs="Calibri"/>
          <w:b/>
          <w:szCs w:val="20"/>
        </w:rPr>
      </w:pPr>
      <w:r w:rsidRPr="00BB7EAF">
        <w:rPr>
          <w:rFonts w:cs="Calibri"/>
          <w:b/>
          <w:szCs w:val="20"/>
        </w:rPr>
        <w:lastRenderedPageBreak/>
        <w:t>IV.- Los servicios que ofrecen, los trámites, requisitos y formatos y, en su caso, el monto de los derechos para acceder a los mismos;</w:t>
      </w:r>
    </w:p>
    <w:p w:rsidR="00363722" w:rsidRPr="00BB7EAF" w:rsidRDefault="00D71C3D" w:rsidP="00BB7EAF">
      <w:pPr>
        <w:pStyle w:val="Prrafodelista"/>
        <w:numPr>
          <w:ilvl w:val="0"/>
          <w:numId w:val="20"/>
        </w:numPr>
        <w:jc w:val="both"/>
        <w:rPr>
          <w:rFonts w:cs="Calibri"/>
          <w:szCs w:val="20"/>
        </w:rPr>
      </w:pPr>
      <w:r w:rsidRPr="00BB7EAF">
        <w:rPr>
          <w:rFonts w:cs="Calibri"/>
          <w:szCs w:val="20"/>
        </w:rPr>
        <w:t>Se recomienda</w:t>
      </w:r>
      <w:r w:rsidR="00515D33" w:rsidRPr="00BB7EAF">
        <w:rPr>
          <w:rFonts w:cs="Calibri"/>
          <w:szCs w:val="20"/>
        </w:rPr>
        <w:t xml:space="preserve"> publicar en esta fracción la fecha de actualización, tal y como lo establece el artículo 12 de la LTAIPBC: </w:t>
      </w:r>
      <w:r w:rsidR="00515D33" w:rsidRPr="00BB7EAF">
        <w:rPr>
          <w:rFonts w:cs="Calibri"/>
          <w:i/>
          <w:szCs w:val="20"/>
        </w:rPr>
        <w:t>“…</w:t>
      </w:r>
      <w:r w:rsidR="00515D33" w:rsidRPr="00BB7EAF">
        <w:rPr>
          <w:i/>
          <w:sz w:val="23"/>
          <w:szCs w:val="23"/>
        </w:rPr>
        <w:t>En todos los casos se deberá indicar la fecha de la última actualización por cada rubro…</w:t>
      </w:r>
      <w:r w:rsidR="00515D33" w:rsidRPr="00BB7EAF">
        <w:rPr>
          <w:sz w:val="23"/>
          <w:szCs w:val="23"/>
        </w:rPr>
        <w:t xml:space="preserve">”, </w:t>
      </w:r>
      <w:r w:rsidR="003474CA" w:rsidRPr="00BB7EAF">
        <w:rPr>
          <w:rFonts w:cs="Calibri"/>
          <w:b/>
          <w:szCs w:val="20"/>
        </w:rPr>
        <w:t>NO ATENDIDA</w:t>
      </w:r>
    </w:p>
    <w:p w:rsidR="00C675EA" w:rsidRPr="00BB7EAF" w:rsidRDefault="00C675EA" w:rsidP="00BB7EAF">
      <w:pPr>
        <w:pStyle w:val="Prrafodelista"/>
        <w:ind w:left="1068"/>
        <w:jc w:val="both"/>
        <w:rPr>
          <w:rFonts w:cs="Calibri"/>
          <w:szCs w:val="20"/>
        </w:rPr>
      </w:pPr>
    </w:p>
    <w:p w:rsidR="00F15373" w:rsidRPr="00BB7EAF" w:rsidRDefault="00F15373" w:rsidP="00BB7EAF">
      <w:pPr>
        <w:jc w:val="both"/>
        <w:rPr>
          <w:rFonts w:cs="Calibri"/>
          <w:b/>
          <w:szCs w:val="20"/>
        </w:rPr>
      </w:pPr>
      <w:r w:rsidRPr="00BB7EAF">
        <w:rPr>
          <w:rFonts w:cs="Calibri"/>
          <w:b/>
          <w:szCs w:val="20"/>
        </w:rPr>
        <w:t>V.- Los informes de acceso a la información, que contengan cuando menos:</w:t>
      </w:r>
    </w:p>
    <w:p w:rsidR="00F15373" w:rsidRPr="00BB7EAF" w:rsidRDefault="00F15373" w:rsidP="00BB7EAF">
      <w:pPr>
        <w:jc w:val="both"/>
        <w:rPr>
          <w:rFonts w:cs="Calibri"/>
          <w:b/>
          <w:szCs w:val="20"/>
        </w:rPr>
      </w:pPr>
      <w:r w:rsidRPr="00BB7EAF">
        <w:rPr>
          <w:rFonts w:cs="Calibri"/>
          <w:b/>
          <w:szCs w:val="20"/>
        </w:rPr>
        <w:t>a).- Número de solicitudes de información que les han sido presentadas;</w:t>
      </w:r>
    </w:p>
    <w:p w:rsidR="00F15373" w:rsidRPr="00BB7EAF" w:rsidRDefault="00F15373" w:rsidP="00BB7EAF">
      <w:pPr>
        <w:jc w:val="both"/>
        <w:rPr>
          <w:rFonts w:cs="Calibri"/>
          <w:b/>
          <w:szCs w:val="20"/>
        </w:rPr>
      </w:pPr>
      <w:r w:rsidRPr="00BB7EAF">
        <w:rPr>
          <w:rFonts w:cs="Calibri"/>
          <w:b/>
          <w:szCs w:val="20"/>
        </w:rPr>
        <w:t>b).- Objeto de las solicitudes;</w:t>
      </w:r>
    </w:p>
    <w:p w:rsidR="00F15373" w:rsidRPr="00BB7EAF" w:rsidRDefault="00F15373" w:rsidP="00BB7EAF">
      <w:pPr>
        <w:jc w:val="both"/>
        <w:rPr>
          <w:rFonts w:cs="Calibri"/>
          <w:b/>
          <w:szCs w:val="20"/>
        </w:rPr>
      </w:pPr>
      <w:r w:rsidRPr="00BB7EAF">
        <w:rPr>
          <w:rFonts w:cs="Calibri"/>
          <w:b/>
          <w:szCs w:val="20"/>
        </w:rPr>
        <w:t>c).- Solicitudes procesadas y respondidas, así como el número de aquellas que se encuentren pendientes; y</w:t>
      </w:r>
    </w:p>
    <w:p w:rsidR="00F15373" w:rsidRPr="00BB7EAF" w:rsidRDefault="00F15373" w:rsidP="00BB7EAF">
      <w:pPr>
        <w:jc w:val="both"/>
        <w:rPr>
          <w:rFonts w:cs="Calibri"/>
          <w:b/>
          <w:szCs w:val="20"/>
        </w:rPr>
      </w:pPr>
      <w:r w:rsidRPr="00BB7EAF">
        <w:rPr>
          <w:rFonts w:cs="Calibri"/>
          <w:b/>
          <w:szCs w:val="20"/>
        </w:rPr>
        <w:t>d).- Las solicitudes que hayan sido denegadas y los fundamentos por lo que fueron desechadas.</w:t>
      </w:r>
    </w:p>
    <w:p w:rsidR="00515D33" w:rsidRPr="00BB7EAF" w:rsidRDefault="00515D33" w:rsidP="00BB7EAF">
      <w:pPr>
        <w:pStyle w:val="Sinespaciado"/>
      </w:pPr>
      <w:r w:rsidRPr="00BB7EAF">
        <w:t>No se emiten recomendaciones respecto a esta fracción.</w:t>
      </w:r>
    </w:p>
    <w:p w:rsidR="00C675EA" w:rsidRPr="00BB7EAF" w:rsidRDefault="00C675EA" w:rsidP="00BB7EAF">
      <w:pPr>
        <w:ind w:left="708"/>
        <w:jc w:val="both"/>
        <w:rPr>
          <w:rFonts w:cs="Calibri"/>
          <w:szCs w:val="20"/>
        </w:rPr>
      </w:pPr>
    </w:p>
    <w:p w:rsidR="00F15373" w:rsidRPr="00BB7EAF" w:rsidRDefault="00F15373" w:rsidP="00BB7EAF">
      <w:pPr>
        <w:jc w:val="both"/>
        <w:rPr>
          <w:rFonts w:cs="Calibri"/>
          <w:b/>
          <w:szCs w:val="20"/>
        </w:rPr>
      </w:pPr>
      <w:r w:rsidRPr="00BB7EAF">
        <w:rPr>
          <w:rFonts w:cs="Calibri"/>
          <w:b/>
          <w:szCs w:val="20"/>
        </w:rPr>
        <w:t>VI.- El directorio de servidores públicos, desde el nivel de jefe de departamento o sus equivalentes, hasta el nivel del funcionario de mayor jerarquía. En el caso de los funcionarios jurisdiccionales, deberá incluir desde el nivel de actuario o equivalente.</w:t>
      </w:r>
    </w:p>
    <w:p w:rsidR="00363722" w:rsidRPr="00BB7EAF" w:rsidRDefault="009B45FB" w:rsidP="00BB7EAF">
      <w:pPr>
        <w:pStyle w:val="Sinespaciado"/>
      </w:pPr>
      <w:r w:rsidRPr="00BB7EAF">
        <w:t>No se emiten recomendaciones respecto a esta fracción.</w:t>
      </w:r>
    </w:p>
    <w:p w:rsidR="00C675EA" w:rsidRPr="00BB7EAF" w:rsidRDefault="00C675EA" w:rsidP="00BB7EAF">
      <w:pPr>
        <w:ind w:left="786"/>
        <w:jc w:val="both"/>
        <w:rPr>
          <w:sz w:val="23"/>
          <w:szCs w:val="23"/>
        </w:rPr>
      </w:pPr>
    </w:p>
    <w:p w:rsidR="00F15373" w:rsidRPr="00BB7EAF" w:rsidRDefault="00F15373" w:rsidP="00BB7EAF">
      <w:pPr>
        <w:jc w:val="both"/>
        <w:rPr>
          <w:rFonts w:cs="Calibri"/>
          <w:b/>
          <w:szCs w:val="20"/>
        </w:rPr>
      </w:pPr>
      <w:r w:rsidRPr="00BB7EAF">
        <w:rPr>
          <w:rFonts w:cs="Calibri"/>
          <w:b/>
          <w:szCs w:val="20"/>
        </w:rPr>
        <w:t>VII.- Plantilla del personal indicando el nombre, puesto, adscripción, remuneración mensual que considere prestaciones, estímulos o compensaciones y cualquier otra percepción en dinero o en especie, de todos los servidores públicos de los sujetos obligados, incluyendo a sus titulares;</w:t>
      </w:r>
    </w:p>
    <w:p w:rsidR="001D66C2" w:rsidRPr="00BB7EAF" w:rsidRDefault="008438CD" w:rsidP="00BB7EAF">
      <w:pPr>
        <w:pStyle w:val="Prrafodelista"/>
        <w:numPr>
          <w:ilvl w:val="0"/>
          <w:numId w:val="34"/>
        </w:numPr>
        <w:jc w:val="both"/>
        <w:rPr>
          <w:rFonts w:cs="Calibri"/>
          <w:szCs w:val="20"/>
        </w:rPr>
      </w:pPr>
      <w:r w:rsidRPr="00BB7EAF">
        <w:rPr>
          <w:rFonts w:cs="Calibri"/>
          <w:szCs w:val="20"/>
        </w:rPr>
        <w:t>Con respecto a la remuneración  mensual se recomienda desglosar las deducciones</w:t>
      </w:r>
      <w:r w:rsidR="001D66C2" w:rsidRPr="00BB7EAF">
        <w:rPr>
          <w:rFonts w:cs="Calibri"/>
          <w:szCs w:val="20"/>
        </w:rPr>
        <w:t xml:space="preserve">. </w:t>
      </w:r>
      <w:r w:rsidR="003474CA" w:rsidRPr="00BB7EAF">
        <w:rPr>
          <w:rFonts w:cs="Calibri"/>
          <w:szCs w:val="20"/>
        </w:rPr>
        <w:t xml:space="preserve">        </w:t>
      </w:r>
      <w:r w:rsidR="003474CA" w:rsidRPr="00BB7EAF">
        <w:rPr>
          <w:rFonts w:cs="Calibri"/>
          <w:b/>
          <w:szCs w:val="20"/>
        </w:rPr>
        <w:t>NO ATENDIDA</w:t>
      </w:r>
    </w:p>
    <w:p w:rsidR="00C675EA" w:rsidRPr="00BB7EAF" w:rsidRDefault="001D66C2" w:rsidP="00BB7EAF">
      <w:pPr>
        <w:pStyle w:val="Prrafodelista"/>
        <w:numPr>
          <w:ilvl w:val="0"/>
          <w:numId w:val="34"/>
        </w:numPr>
        <w:jc w:val="both"/>
        <w:rPr>
          <w:rFonts w:cs="Calibri"/>
          <w:szCs w:val="20"/>
        </w:rPr>
      </w:pPr>
      <w:r w:rsidRPr="00BB7EAF">
        <w:rPr>
          <w:rFonts w:cs="Calibri"/>
          <w:szCs w:val="20"/>
        </w:rPr>
        <w:t>Se recomienda publicar en esta fracción la fecha de actualización, tal y como lo establece el artículo 12 de la LTAIPBC: “…En todos los casos se deberá indicar la fecha de la última actualización por cada rubro…”,</w:t>
      </w:r>
      <w:r w:rsidR="003474CA" w:rsidRPr="00BB7EAF">
        <w:rPr>
          <w:rFonts w:cs="Calibri"/>
          <w:b/>
          <w:szCs w:val="20"/>
        </w:rPr>
        <w:t xml:space="preserve"> NO ATENDIDA</w:t>
      </w:r>
    </w:p>
    <w:p w:rsidR="00E63CAB" w:rsidRPr="00BB7EAF" w:rsidRDefault="00E63CAB" w:rsidP="00BB7EAF">
      <w:pPr>
        <w:jc w:val="both"/>
        <w:rPr>
          <w:rFonts w:cs="Calibri"/>
          <w:b/>
          <w:szCs w:val="20"/>
        </w:rPr>
      </w:pPr>
    </w:p>
    <w:p w:rsidR="00E63CAB" w:rsidRPr="00BB7EAF" w:rsidRDefault="00E63CAB" w:rsidP="00BB7EAF">
      <w:pPr>
        <w:jc w:val="both"/>
        <w:rPr>
          <w:rFonts w:cs="Calibri"/>
          <w:b/>
          <w:szCs w:val="20"/>
        </w:rPr>
      </w:pPr>
    </w:p>
    <w:p w:rsidR="00F15373" w:rsidRPr="00BB7EAF" w:rsidRDefault="00F15373" w:rsidP="00BB7EAF">
      <w:pPr>
        <w:jc w:val="both"/>
        <w:rPr>
          <w:rFonts w:cs="Calibri"/>
          <w:b/>
          <w:szCs w:val="20"/>
        </w:rPr>
      </w:pPr>
      <w:r w:rsidRPr="00BB7EAF">
        <w:rPr>
          <w:rFonts w:cs="Calibri"/>
          <w:b/>
          <w:szCs w:val="20"/>
        </w:rPr>
        <w:lastRenderedPageBreak/>
        <w:t xml:space="preserve">VIII.- Respecto del presupuesto de </w:t>
      </w:r>
      <w:r w:rsidR="00A346C5" w:rsidRPr="00BB7EAF">
        <w:rPr>
          <w:rFonts w:cs="Calibri"/>
          <w:b/>
          <w:szCs w:val="20"/>
        </w:rPr>
        <w:t>egreso aprobado</w:t>
      </w:r>
      <w:r w:rsidRPr="00BB7EAF">
        <w:rPr>
          <w:rFonts w:cs="Calibri"/>
          <w:b/>
          <w:szCs w:val="20"/>
        </w:rPr>
        <w:t>, por programas, grupos y partidas de gastos, y los informes sobre su ejecución; así como de la situación financiera y en su caso, respecto a la deuda pública;</w:t>
      </w:r>
    </w:p>
    <w:p w:rsidR="00D87EA9" w:rsidRPr="00BB7EAF" w:rsidRDefault="00E81E2C" w:rsidP="00BB7EAF">
      <w:pPr>
        <w:pStyle w:val="Prrafodelista"/>
        <w:numPr>
          <w:ilvl w:val="0"/>
          <w:numId w:val="32"/>
        </w:numPr>
        <w:jc w:val="both"/>
        <w:rPr>
          <w:rFonts w:cs="Calibri"/>
          <w:szCs w:val="20"/>
        </w:rPr>
      </w:pPr>
      <w:r w:rsidRPr="00BB7EAF">
        <w:rPr>
          <w:rFonts w:cs="Calibri"/>
          <w:szCs w:val="20"/>
        </w:rPr>
        <w:t>Se recomienda publicar información</w:t>
      </w:r>
      <w:r w:rsidR="005C11D3" w:rsidRPr="00BB7EAF">
        <w:rPr>
          <w:rFonts w:cs="Calibri"/>
          <w:szCs w:val="20"/>
        </w:rPr>
        <w:t xml:space="preserve"> </w:t>
      </w:r>
      <w:r w:rsidRPr="00BB7EAF">
        <w:rPr>
          <w:rFonts w:cs="Calibri"/>
          <w:szCs w:val="20"/>
        </w:rPr>
        <w:t>respecto al Informe de Ejecución de Presupuesto ya que no</w:t>
      </w:r>
      <w:r w:rsidR="00363722" w:rsidRPr="00BB7EAF">
        <w:rPr>
          <w:rFonts w:cs="Calibri"/>
          <w:szCs w:val="20"/>
        </w:rPr>
        <w:t xml:space="preserve"> se </w:t>
      </w:r>
      <w:r w:rsidR="005C11D3" w:rsidRPr="00BB7EAF">
        <w:rPr>
          <w:rFonts w:cs="Calibri"/>
          <w:szCs w:val="20"/>
        </w:rPr>
        <w:t>incluye</w:t>
      </w:r>
      <w:r w:rsidR="00363722" w:rsidRPr="00BB7EAF">
        <w:rPr>
          <w:rFonts w:cs="Calibri"/>
          <w:szCs w:val="20"/>
        </w:rPr>
        <w:t xml:space="preserve"> información respecto a los indicadores de resultados que forma parte de la información programática del informe de avance de gestión </w:t>
      </w:r>
      <w:r w:rsidR="00FF3F5E" w:rsidRPr="00BB7EAF">
        <w:rPr>
          <w:rFonts w:cs="Calibri"/>
          <w:szCs w:val="20"/>
        </w:rPr>
        <w:t>financiera.</w:t>
      </w:r>
      <w:r w:rsidR="003474CA" w:rsidRPr="00BB7EAF">
        <w:rPr>
          <w:rFonts w:cs="Calibri"/>
          <w:b/>
          <w:szCs w:val="20"/>
        </w:rPr>
        <w:t xml:space="preserve"> NO ATENDIDA</w:t>
      </w:r>
      <w:r w:rsidR="00363722" w:rsidRPr="00BB7EAF">
        <w:rPr>
          <w:rFonts w:cs="Calibri"/>
          <w:szCs w:val="20"/>
        </w:rPr>
        <w:t xml:space="preserve">  </w:t>
      </w:r>
    </w:p>
    <w:p w:rsidR="00C675EA" w:rsidRPr="00BB7EAF" w:rsidRDefault="00C675EA" w:rsidP="00BB7EAF">
      <w:pPr>
        <w:pStyle w:val="Prrafodelista"/>
        <w:ind w:left="1080"/>
        <w:jc w:val="both"/>
        <w:rPr>
          <w:rFonts w:cs="Calibri"/>
          <w:szCs w:val="20"/>
        </w:rPr>
      </w:pPr>
    </w:p>
    <w:p w:rsidR="00F15373" w:rsidRPr="00BB7EAF" w:rsidRDefault="00F15373" w:rsidP="00BB7EAF">
      <w:pPr>
        <w:jc w:val="both"/>
        <w:rPr>
          <w:rFonts w:cs="Calibri"/>
          <w:b/>
          <w:szCs w:val="20"/>
        </w:rPr>
      </w:pPr>
      <w:r w:rsidRPr="00BB7EAF">
        <w:rPr>
          <w:rFonts w:cs="Calibri"/>
          <w:b/>
          <w:szCs w:val="20"/>
        </w:rPr>
        <w:t>IX.- Las enajenaciones de bienes que realicen por cualquier título o acto, indicando los motivos, beneficiarios o adquirientes, y los montos de las operaciones;</w:t>
      </w:r>
    </w:p>
    <w:p w:rsidR="00363722" w:rsidRPr="00BB7EAF" w:rsidRDefault="00D71C3D" w:rsidP="00BB7EAF">
      <w:pPr>
        <w:pStyle w:val="Sinespaciado"/>
        <w:numPr>
          <w:ilvl w:val="0"/>
          <w:numId w:val="47"/>
        </w:numPr>
      </w:pPr>
      <w:r w:rsidRPr="00BB7EAF">
        <w:t xml:space="preserve">Se recomienda publicar en esta fracción la fecha de actualización, tal y como lo establece el artículo 12 de la LTAIPBC: </w:t>
      </w:r>
      <w:r w:rsidRPr="00BB7EAF">
        <w:rPr>
          <w:i/>
        </w:rPr>
        <w:t>“…</w:t>
      </w:r>
      <w:r w:rsidRPr="00BB7EAF">
        <w:rPr>
          <w:i/>
          <w:sz w:val="23"/>
          <w:szCs w:val="23"/>
        </w:rPr>
        <w:t>En todos los casos se deberá indicar la fecha de la última actualización por cada rubro…</w:t>
      </w:r>
      <w:r w:rsidRPr="00BB7EAF">
        <w:rPr>
          <w:sz w:val="23"/>
          <w:szCs w:val="23"/>
        </w:rPr>
        <w:t xml:space="preserve">”, </w:t>
      </w:r>
      <w:r w:rsidR="003474CA" w:rsidRPr="00BB7EAF">
        <w:rPr>
          <w:rFonts w:cs="Calibri"/>
          <w:b/>
          <w:szCs w:val="20"/>
        </w:rPr>
        <w:t xml:space="preserve"> ATENDIDA</w:t>
      </w:r>
    </w:p>
    <w:p w:rsidR="003474CA" w:rsidRPr="00BB7EAF" w:rsidRDefault="003474CA" w:rsidP="00BB7EAF">
      <w:pPr>
        <w:jc w:val="both"/>
        <w:rPr>
          <w:rFonts w:cs="Calibri"/>
          <w:b/>
          <w:szCs w:val="20"/>
        </w:rPr>
      </w:pPr>
    </w:p>
    <w:p w:rsidR="00F15373" w:rsidRPr="00BB7EAF" w:rsidRDefault="00F15373" w:rsidP="00BB7EAF">
      <w:pPr>
        <w:jc w:val="both"/>
        <w:rPr>
          <w:rFonts w:cs="Calibri"/>
          <w:b/>
          <w:szCs w:val="20"/>
        </w:rPr>
      </w:pPr>
      <w:r w:rsidRPr="00BB7EAF">
        <w:rPr>
          <w:rFonts w:cs="Calibri"/>
          <w:b/>
          <w:szCs w:val="20"/>
        </w:rPr>
        <w:t>X.- Los permisos, concesiones y autorizaciones otorgadas, especificando sus titulares, concepto y vigencia;</w:t>
      </w:r>
    </w:p>
    <w:p w:rsidR="00363722" w:rsidRPr="00BB7EAF" w:rsidRDefault="00F74954" w:rsidP="00BB7EAF">
      <w:pPr>
        <w:pStyle w:val="Sinespaciado"/>
        <w:numPr>
          <w:ilvl w:val="0"/>
          <w:numId w:val="48"/>
        </w:numPr>
      </w:pPr>
      <w:r w:rsidRPr="00BB7EAF">
        <w:t>Se omite publicar información referente a las concesiones y autorizaciones otorgadas por el Sujeto Obligado de acuerdo a sus atribuciones.</w:t>
      </w:r>
      <w:r w:rsidR="002E5F0F" w:rsidRPr="00BB7EAF">
        <w:rPr>
          <w:sz w:val="23"/>
          <w:szCs w:val="23"/>
        </w:rPr>
        <w:t xml:space="preserve"> </w:t>
      </w:r>
      <w:r w:rsidR="002E5F0F" w:rsidRPr="00BB7EAF">
        <w:rPr>
          <w:rFonts w:cs="Calibri"/>
          <w:b/>
          <w:szCs w:val="20"/>
        </w:rPr>
        <w:t>NO ATENDIDA</w:t>
      </w:r>
    </w:p>
    <w:p w:rsidR="00C675EA" w:rsidRPr="00BB7EAF" w:rsidRDefault="00C675EA" w:rsidP="00BB7EAF">
      <w:pPr>
        <w:ind w:left="708"/>
        <w:jc w:val="both"/>
        <w:rPr>
          <w:rFonts w:cs="Calibri"/>
          <w:szCs w:val="20"/>
        </w:rPr>
      </w:pPr>
    </w:p>
    <w:p w:rsidR="00F15373" w:rsidRPr="00BB7EAF" w:rsidRDefault="00F15373" w:rsidP="00BB7EAF">
      <w:pPr>
        <w:jc w:val="both"/>
        <w:rPr>
          <w:rFonts w:cs="Calibri"/>
          <w:b/>
          <w:szCs w:val="20"/>
        </w:rPr>
      </w:pPr>
      <w:r w:rsidRPr="00BB7EAF">
        <w:rPr>
          <w:rFonts w:cs="Calibri"/>
          <w:b/>
          <w:szCs w:val="20"/>
        </w:rPr>
        <w:t>XI.- Los convenios celebrados con instituciones públicas o privadas;</w:t>
      </w:r>
    </w:p>
    <w:p w:rsidR="00751D66" w:rsidRPr="00BB7EAF" w:rsidRDefault="009B45FB" w:rsidP="00BB7EAF">
      <w:pPr>
        <w:pStyle w:val="Prrafodelista"/>
        <w:numPr>
          <w:ilvl w:val="0"/>
          <w:numId w:val="43"/>
        </w:numPr>
        <w:jc w:val="both"/>
        <w:rPr>
          <w:rFonts w:cs="Calibri"/>
          <w:b/>
          <w:szCs w:val="20"/>
        </w:rPr>
      </w:pPr>
      <w:r w:rsidRPr="00BB7EAF">
        <w:rPr>
          <w:rFonts w:asciiTheme="minorHAnsi" w:hAnsiTheme="minorHAnsi" w:cstheme="minorHAnsi"/>
          <w:szCs w:val="20"/>
        </w:rPr>
        <w:t>Se recomienda que adicionalmente a la información publicada en la fracción, se publique el monto por el cual fueron celebrados los convenios con las instituciones</w:t>
      </w:r>
      <w:r w:rsidR="00A53AB6" w:rsidRPr="00BB7EAF">
        <w:rPr>
          <w:rFonts w:asciiTheme="minorHAnsi" w:hAnsiTheme="minorHAnsi" w:cstheme="minorHAnsi"/>
          <w:szCs w:val="20"/>
        </w:rPr>
        <w:t xml:space="preserve"> públicas y privadas y</w:t>
      </w:r>
      <w:r w:rsidR="002E5F0F" w:rsidRPr="00BB7EAF">
        <w:rPr>
          <w:rFonts w:cs="Calibri"/>
          <w:b/>
          <w:szCs w:val="20"/>
        </w:rPr>
        <w:t xml:space="preserve"> NO ATENDIDA</w:t>
      </w:r>
    </w:p>
    <w:p w:rsidR="00A53AB6" w:rsidRPr="00BB7EAF" w:rsidRDefault="00A53AB6" w:rsidP="00BB7EAF">
      <w:pPr>
        <w:pStyle w:val="Prrafodelista"/>
        <w:numPr>
          <w:ilvl w:val="0"/>
          <w:numId w:val="43"/>
        </w:numPr>
        <w:jc w:val="both"/>
        <w:rPr>
          <w:rFonts w:cs="Calibri"/>
          <w:b/>
          <w:szCs w:val="20"/>
        </w:rPr>
      </w:pPr>
      <w:r w:rsidRPr="00BB7EAF">
        <w:rPr>
          <w:rFonts w:asciiTheme="minorHAnsi" w:hAnsiTheme="minorHAnsi" w:cstheme="minorHAnsi"/>
          <w:szCs w:val="20"/>
        </w:rPr>
        <w:t xml:space="preserve">La fecha de celebración </w:t>
      </w:r>
      <w:r w:rsidR="002E5F0F" w:rsidRPr="00BB7EAF">
        <w:rPr>
          <w:rFonts w:cs="Calibri"/>
          <w:b/>
          <w:szCs w:val="20"/>
        </w:rPr>
        <w:t>NO ATENDIDA</w:t>
      </w:r>
    </w:p>
    <w:p w:rsidR="00F15373" w:rsidRPr="00BB7EAF" w:rsidRDefault="00F15373" w:rsidP="00BB7EAF">
      <w:pPr>
        <w:jc w:val="both"/>
        <w:rPr>
          <w:rFonts w:cs="Calibri"/>
          <w:b/>
          <w:szCs w:val="20"/>
        </w:rPr>
      </w:pPr>
      <w:r w:rsidRPr="00BB7EAF">
        <w:rPr>
          <w:rFonts w:cs="Calibri"/>
          <w:b/>
          <w:szCs w:val="20"/>
        </w:rPr>
        <w:t>XII.- El padrón de proveedores;</w:t>
      </w:r>
    </w:p>
    <w:p w:rsidR="00F15373" w:rsidRPr="00BB7EAF" w:rsidRDefault="00F15373" w:rsidP="00BB7EAF">
      <w:pPr>
        <w:pStyle w:val="Sinespaciado"/>
      </w:pPr>
      <w:r w:rsidRPr="00BB7EAF">
        <w:t>No se emiten recomendaciones respecto a esta fracción.</w:t>
      </w:r>
    </w:p>
    <w:p w:rsidR="00C675EA" w:rsidRPr="00BB7EAF" w:rsidRDefault="00C675EA" w:rsidP="00BB7EAF">
      <w:pPr>
        <w:ind w:firstLine="708"/>
        <w:jc w:val="both"/>
        <w:rPr>
          <w:rFonts w:cs="Calibri"/>
          <w:szCs w:val="20"/>
        </w:rPr>
      </w:pPr>
    </w:p>
    <w:p w:rsidR="00F15373" w:rsidRPr="00BB7EAF" w:rsidRDefault="00F15373" w:rsidP="00BB7EAF">
      <w:pPr>
        <w:jc w:val="both"/>
        <w:rPr>
          <w:rFonts w:cs="Calibri"/>
          <w:b/>
          <w:szCs w:val="20"/>
        </w:rPr>
      </w:pPr>
      <w:r w:rsidRPr="00BB7EAF">
        <w:rPr>
          <w:rFonts w:cs="Calibri"/>
          <w:b/>
          <w:szCs w:val="20"/>
        </w:rPr>
        <w:t>XIII.- El padrón inmobiliario y el vehicular;</w:t>
      </w:r>
    </w:p>
    <w:p w:rsidR="00337BCB" w:rsidRPr="00BB7EAF" w:rsidRDefault="005B23FC" w:rsidP="00BB7EAF">
      <w:pPr>
        <w:ind w:left="708"/>
        <w:jc w:val="both"/>
        <w:rPr>
          <w:rFonts w:asciiTheme="minorHAnsi" w:hAnsiTheme="minorHAnsi" w:cstheme="minorHAnsi"/>
          <w:b/>
          <w:szCs w:val="20"/>
        </w:rPr>
      </w:pPr>
      <w:r w:rsidRPr="00BB7EAF">
        <w:t xml:space="preserve">Con respecto al padrón Inmobiliario se recomienda incorporar </w:t>
      </w:r>
    </w:p>
    <w:p w:rsidR="00337BCB" w:rsidRPr="00BB7EAF" w:rsidRDefault="005B23FC" w:rsidP="00BB7EAF">
      <w:pPr>
        <w:pStyle w:val="Prrafodelista"/>
        <w:numPr>
          <w:ilvl w:val="0"/>
          <w:numId w:val="13"/>
        </w:numPr>
        <w:jc w:val="both"/>
        <w:rPr>
          <w:rFonts w:asciiTheme="minorHAnsi" w:hAnsiTheme="minorHAnsi" w:cstheme="minorHAnsi"/>
          <w:b/>
          <w:szCs w:val="20"/>
        </w:rPr>
      </w:pPr>
      <w:r w:rsidRPr="00BB7EAF">
        <w:t xml:space="preserve">la modalidad de la posesión (propiedad, usufructo, arrendamiento, comodato, </w:t>
      </w:r>
      <w:r w:rsidR="009245E6" w:rsidRPr="00BB7EAF">
        <w:t>depósito</w:t>
      </w:r>
      <w:r w:rsidRPr="00BB7EAF">
        <w:t xml:space="preserve"> o cualquier otra modalidad), </w:t>
      </w:r>
      <w:r w:rsidR="002E5F0F" w:rsidRPr="00BB7EAF">
        <w:rPr>
          <w:rFonts w:cs="Calibri"/>
          <w:b/>
          <w:szCs w:val="20"/>
        </w:rPr>
        <w:t>NO ATENDIDA</w:t>
      </w:r>
    </w:p>
    <w:p w:rsidR="005B23FC" w:rsidRPr="00BB7EAF" w:rsidRDefault="005B23FC" w:rsidP="00BB7EAF">
      <w:pPr>
        <w:pStyle w:val="Prrafodelista"/>
        <w:numPr>
          <w:ilvl w:val="0"/>
          <w:numId w:val="13"/>
        </w:numPr>
        <w:jc w:val="both"/>
        <w:rPr>
          <w:rFonts w:asciiTheme="minorHAnsi" w:hAnsiTheme="minorHAnsi" w:cstheme="minorHAnsi"/>
          <w:b/>
          <w:szCs w:val="20"/>
        </w:rPr>
      </w:pPr>
      <w:r w:rsidRPr="00BB7EAF">
        <w:lastRenderedPageBreak/>
        <w:t>así como integrar al domicilio completo que debe incluir a los datos ya existentes   (</w:t>
      </w:r>
      <w:r w:rsidR="009245E6" w:rsidRPr="00BB7EAF">
        <w:t>número</w:t>
      </w:r>
      <w:r w:rsidRPr="00BB7EAF">
        <w:t xml:space="preserve">, colonia, código postal).  </w:t>
      </w:r>
      <w:r w:rsidR="002E5F0F" w:rsidRPr="00BB7EAF">
        <w:rPr>
          <w:rFonts w:cs="Calibri"/>
          <w:b/>
          <w:szCs w:val="20"/>
        </w:rPr>
        <w:t>NO ATENDIDA</w:t>
      </w:r>
    </w:p>
    <w:p w:rsidR="00337BCB" w:rsidRPr="00BB7EAF" w:rsidRDefault="00F15373" w:rsidP="00BB7EAF">
      <w:pPr>
        <w:ind w:left="708"/>
        <w:jc w:val="both"/>
        <w:rPr>
          <w:rFonts w:asciiTheme="minorHAnsi" w:hAnsiTheme="minorHAnsi" w:cstheme="minorHAnsi"/>
          <w:b/>
          <w:szCs w:val="20"/>
        </w:rPr>
      </w:pPr>
      <w:r w:rsidRPr="00BB7EAF">
        <w:rPr>
          <w:rFonts w:asciiTheme="minorHAnsi" w:hAnsiTheme="minorHAnsi" w:cstheme="minorHAnsi"/>
          <w:szCs w:val="20"/>
        </w:rPr>
        <w:t>Con respecto al padrón vehicular se recomienda</w:t>
      </w:r>
      <w:r w:rsidRPr="00BB7EAF">
        <w:rPr>
          <w:rFonts w:asciiTheme="minorHAnsi" w:hAnsiTheme="minorHAnsi" w:cstheme="minorHAnsi"/>
          <w:b/>
          <w:szCs w:val="20"/>
        </w:rPr>
        <w:t xml:space="preserve"> </w:t>
      </w:r>
      <w:r w:rsidRPr="00BB7EAF">
        <w:t xml:space="preserve">publicar la siguiente información:   </w:t>
      </w:r>
    </w:p>
    <w:p w:rsidR="00337BCB" w:rsidRPr="00BB7EAF" w:rsidRDefault="00887C14" w:rsidP="00BB7EAF">
      <w:pPr>
        <w:pStyle w:val="Prrafodelista"/>
        <w:numPr>
          <w:ilvl w:val="0"/>
          <w:numId w:val="13"/>
        </w:numPr>
        <w:jc w:val="both"/>
        <w:rPr>
          <w:rFonts w:asciiTheme="minorHAnsi" w:hAnsiTheme="minorHAnsi" w:cstheme="minorHAnsi"/>
          <w:b/>
          <w:szCs w:val="20"/>
        </w:rPr>
      </w:pPr>
      <w:r w:rsidRPr="00BB7EAF">
        <w:t>N</w:t>
      </w:r>
      <w:r w:rsidR="00F15373" w:rsidRPr="00BB7EAF">
        <w:t xml:space="preserve">úmero de serie, </w:t>
      </w:r>
      <w:r w:rsidR="002E5F0F" w:rsidRPr="00BB7EAF">
        <w:rPr>
          <w:rFonts w:cs="Calibri"/>
          <w:b/>
          <w:szCs w:val="20"/>
        </w:rPr>
        <w:t>NO ATENDIDA</w:t>
      </w:r>
    </w:p>
    <w:p w:rsidR="00337BCB" w:rsidRPr="00BB7EAF" w:rsidRDefault="00887C14" w:rsidP="00BB7EAF">
      <w:pPr>
        <w:pStyle w:val="Prrafodelista"/>
        <w:numPr>
          <w:ilvl w:val="0"/>
          <w:numId w:val="13"/>
        </w:numPr>
        <w:jc w:val="both"/>
        <w:rPr>
          <w:rFonts w:asciiTheme="minorHAnsi" w:hAnsiTheme="minorHAnsi" w:cstheme="minorHAnsi"/>
          <w:b/>
          <w:szCs w:val="20"/>
        </w:rPr>
      </w:pPr>
      <w:r w:rsidRPr="00BB7EAF">
        <w:t>V</w:t>
      </w:r>
      <w:r w:rsidR="00F15373" w:rsidRPr="00BB7EAF">
        <w:t xml:space="preserve">alor de compra, </w:t>
      </w:r>
      <w:r w:rsidR="002E5F0F" w:rsidRPr="00BB7EAF">
        <w:rPr>
          <w:rFonts w:cs="Calibri"/>
          <w:b/>
          <w:szCs w:val="20"/>
        </w:rPr>
        <w:t>NO ATENDIDA</w:t>
      </w:r>
    </w:p>
    <w:p w:rsidR="00337BCB" w:rsidRPr="00BB7EAF" w:rsidRDefault="00F15373" w:rsidP="00BB7EAF">
      <w:pPr>
        <w:pStyle w:val="Prrafodelista"/>
        <w:numPr>
          <w:ilvl w:val="0"/>
          <w:numId w:val="13"/>
        </w:numPr>
        <w:jc w:val="both"/>
        <w:rPr>
          <w:rFonts w:asciiTheme="minorHAnsi" w:hAnsiTheme="minorHAnsi" w:cstheme="minorHAnsi"/>
          <w:b/>
          <w:szCs w:val="20"/>
        </w:rPr>
      </w:pPr>
      <w:r w:rsidRPr="00BB7EAF">
        <w:t>funcionario o área responsable al que se encuentra asignado o bajo su resguardo,</w:t>
      </w:r>
      <w:r w:rsidR="002E5F0F" w:rsidRPr="00BB7EAF">
        <w:t xml:space="preserve">            </w:t>
      </w:r>
      <w:r w:rsidR="002E5F0F" w:rsidRPr="00BB7EAF">
        <w:rPr>
          <w:rFonts w:cs="Calibri"/>
          <w:b/>
          <w:szCs w:val="20"/>
        </w:rPr>
        <w:t xml:space="preserve"> NO ATENDIDA</w:t>
      </w:r>
    </w:p>
    <w:p w:rsidR="00337BCB" w:rsidRPr="00BB7EAF" w:rsidRDefault="00887C14" w:rsidP="00BB7EAF">
      <w:pPr>
        <w:pStyle w:val="Prrafodelista"/>
        <w:numPr>
          <w:ilvl w:val="0"/>
          <w:numId w:val="13"/>
        </w:numPr>
        <w:jc w:val="both"/>
        <w:rPr>
          <w:rFonts w:asciiTheme="minorHAnsi" w:hAnsiTheme="minorHAnsi" w:cstheme="minorHAnsi"/>
          <w:b/>
          <w:szCs w:val="20"/>
        </w:rPr>
      </w:pPr>
      <w:r w:rsidRPr="00BB7EAF">
        <w:t>P</w:t>
      </w:r>
      <w:r w:rsidR="00F15373" w:rsidRPr="00BB7EAF">
        <w:t xml:space="preserve">uesto del funcionario al que se encuentra asignado y </w:t>
      </w:r>
      <w:r w:rsidR="002E5F0F" w:rsidRPr="00BB7EAF">
        <w:rPr>
          <w:rFonts w:cs="Calibri"/>
          <w:b/>
          <w:szCs w:val="20"/>
        </w:rPr>
        <w:t>NO ATENDIDA</w:t>
      </w:r>
    </w:p>
    <w:p w:rsidR="00A31CF4" w:rsidRPr="00BB7EAF" w:rsidRDefault="00887C14" w:rsidP="00BB7EAF">
      <w:pPr>
        <w:pStyle w:val="Prrafodelista"/>
        <w:numPr>
          <w:ilvl w:val="0"/>
          <w:numId w:val="13"/>
        </w:numPr>
        <w:jc w:val="both"/>
        <w:rPr>
          <w:rFonts w:asciiTheme="minorHAnsi" w:hAnsiTheme="minorHAnsi" w:cstheme="minorHAnsi"/>
          <w:b/>
          <w:szCs w:val="20"/>
        </w:rPr>
      </w:pPr>
      <w:r w:rsidRPr="00BB7EAF">
        <w:t>M</w:t>
      </w:r>
      <w:r w:rsidR="00F15373" w:rsidRPr="00BB7EAF">
        <w:t>unicipio donde se encuentra asignado el vehículo.</w:t>
      </w:r>
      <w:r w:rsidR="002E5F0F" w:rsidRPr="00BB7EAF">
        <w:rPr>
          <w:rFonts w:cs="Calibri"/>
          <w:b/>
          <w:szCs w:val="20"/>
        </w:rPr>
        <w:t xml:space="preserve"> NO ATENDIDA</w:t>
      </w:r>
    </w:p>
    <w:p w:rsidR="00C675EA" w:rsidRPr="00BB7EAF" w:rsidRDefault="00C675EA" w:rsidP="00BB7EAF">
      <w:pPr>
        <w:pStyle w:val="Prrafodelista"/>
        <w:ind w:left="1068"/>
        <w:jc w:val="both"/>
        <w:rPr>
          <w:rFonts w:asciiTheme="minorHAnsi" w:hAnsiTheme="minorHAnsi" w:cstheme="minorHAnsi"/>
          <w:b/>
          <w:szCs w:val="20"/>
        </w:rPr>
      </w:pPr>
    </w:p>
    <w:p w:rsidR="00F15373" w:rsidRPr="00BB7EAF" w:rsidRDefault="00F15373" w:rsidP="00BB7EAF">
      <w:pPr>
        <w:jc w:val="both"/>
        <w:rPr>
          <w:rFonts w:cs="Calibri"/>
          <w:b/>
          <w:szCs w:val="20"/>
        </w:rPr>
      </w:pPr>
      <w:r w:rsidRPr="00BB7EAF">
        <w:rPr>
          <w:rFonts w:cs="Calibri"/>
          <w:b/>
          <w:szCs w:val="20"/>
        </w:rPr>
        <w:t>XIV.- Las resoluciones de los procedimientos de responsabilidad administrativa, una vez que hayan causado estado;</w:t>
      </w:r>
    </w:p>
    <w:p w:rsidR="00F15373" w:rsidRPr="00BB7EAF" w:rsidRDefault="00F15373" w:rsidP="00BB7EAF">
      <w:pPr>
        <w:pStyle w:val="Prrafodelista"/>
        <w:numPr>
          <w:ilvl w:val="0"/>
          <w:numId w:val="4"/>
        </w:numPr>
        <w:jc w:val="both"/>
        <w:rPr>
          <w:rFonts w:cs="Calibri"/>
          <w:szCs w:val="20"/>
        </w:rPr>
      </w:pPr>
      <w:r w:rsidRPr="00BB7EAF">
        <w:rPr>
          <w:rFonts w:cs="Calibri"/>
          <w:szCs w:val="20"/>
        </w:rPr>
        <w:t>Se recomienda otorgar acceso a la versión pública de las resoluciones una vez que hayan causado estado.</w:t>
      </w:r>
      <w:r w:rsidR="00A31CF4" w:rsidRPr="00BB7EAF">
        <w:rPr>
          <w:rFonts w:asciiTheme="minorHAnsi" w:hAnsiTheme="minorHAnsi" w:cstheme="minorHAnsi"/>
          <w:b/>
          <w:szCs w:val="20"/>
        </w:rPr>
        <w:t xml:space="preserve"> </w:t>
      </w:r>
      <w:r w:rsidR="002E5F0F" w:rsidRPr="00BB7EAF">
        <w:rPr>
          <w:rFonts w:cs="Calibri"/>
          <w:b/>
          <w:szCs w:val="20"/>
        </w:rPr>
        <w:t>NO ATENDIDA</w:t>
      </w:r>
    </w:p>
    <w:p w:rsidR="00C675EA" w:rsidRPr="00BB7EAF" w:rsidRDefault="00C675EA" w:rsidP="00BB7EAF">
      <w:pPr>
        <w:pStyle w:val="Prrafodelista"/>
        <w:ind w:left="1068"/>
        <w:jc w:val="both"/>
        <w:rPr>
          <w:rFonts w:cs="Calibri"/>
          <w:szCs w:val="20"/>
        </w:rPr>
      </w:pPr>
    </w:p>
    <w:p w:rsidR="00F15373" w:rsidRPr="00BB7EAF" w:rsidRDefault="00F15373" w:rsidP="00BB7EAF">
      <w:pPr>
        <w:jc w:val="both"/>
        <w:rPr>
          <w:rFonts w:cs="Calibri"/>
          <w:b/>
          <w:szCs w:val="20"/>
        </w:rPr>
      </w:pPr>
      <w:r w:rsidRPr="00BB7EAF">
        <w:rPr>
          <w:rFonts w:cs="Calibri"/>
          <w:b/>
          <w:szCs w:val="20"/>
        </w:rPr>
        <w:t>XV.- Los montos asignados y criterios de acceso a los programas sociales;</w:t>
      </w:r>
    </w:p>
    <w:p w:rsidR="005E3FB5" w:rsidRPr="00BB7EAF" w:rsidRDefault="00F15373" w:rsidP="00BB7EAF">
      <w:pPr>
        <w:pStyle w:val="Prrafodelista"/>
        <w:numPr>
          <w:ilvl w:val="0"/>
          <w:numId w:val="5"/>
        </w:numPr>
        <w:jc w:val="both"/>
      </w:pPr>
      <w:r w:rsidRPr="00BB7EAF">
        <w:t>Se recomienda</w:t>
      </w:r>
      <w:r w:rsidR="005E3FB5" w:rsidRPr="00BB7EAF">
        <w:t xml:space="preserve"> publicar en el listado el perfil de persona y/o población a quien va dirigido,</w:t>
      </w:r>
      <w:r w:rsidR="002E5F0F" w:rsidRPr="00BB7EAF">
        <w:rPr>
          <w:rFonts w:cs="Calibri"/>
          <w:b/>
          <w:szCs w:val="20"/>
        </w:rPr>
        <w:t xml:space="preserve"> NO ATENDIDA</w:t>
      </w:r>
    </w:p>
    <w:p w:rsidR="005E3FB5" w:rsidRPr="00BB7EAF" w:rsidRDefault="00DC6CDC" w:rsidP="00BB7EAF">
      <w:pPr>
        <w:pStyle w:val="Prrafodelista"/>
        <w:numPr>
          <w:ilvl w:val="0"/>
          <w:numId w:val="5"/>
        </w:numPr>
        <w:jc w:val="both"/>
      </w:pPr>
      <w:r w:rsidRPr="00BB7EAF">
        <w:t>F</w:t>
      </w:r>
      <w:r w:rsidR="005E3FB5" w:rsidRPr="00BB7EAF">
        <w:t>ormato que deberá llenar,</w:t>
      </w:r>
      <w:r w:rsidRPr="00BB7EAF">
        <w:t xml:space="preserve"> y </w:t>
      </w:r>
      <w:r w:rsidR="002E5F0F" w:rsidRPr="00BB7EAF">
        <w:rPr>
          <w:rFonts w:cs="Calibri"/>
          <w:b/>
          <w:szCs w:val="20"/>
        </w:rPr>
        <w:t>NO ATENDIDA</w:t>
      </w:r>
    </w:p>
    <w:p w:rsidR="00A31CF4" w:rsidRPr="00BB7EAF" w:rsidRDefault="00DC6CDC" w:rsidP="00BB7EAF">
      <w:pPr>
        <w:pStyle w:val="Prrafodelista"/>
        <w:numPr>
          <w:ilvl w:val="0"/>
          <w:numId w:val="5"/>
        </w:numPr>
        <w:jc w:val="both"/>
      </w:pPr>
      <w:r w:rsidRPr="00BB7EAF">
        <w:t>A</w:t>
      </w:r>
      <w:r w:rsidR="005E3FB5" w:rsidRPr="00BB7EAF">
        <w:t>l menos una alternativa de contacto para obtener información (dirección, teléfono, correo electrónico)</w:t>
      </w:r>
      <w:r w:rsidR="00F15373" w:rsidRPr="00BB7EAF">
        <w:t>.</w:t>
      </w:r>
      <w:r w:rsidR="002E5F0F" w:rsidRPr="00BB7EAF">
        <w:rPr>
          <w:rFonts w:cs="Calibri"/>
          <w:b/>
          <w:szCs w:val="20"/>
        </w:rPr>
        <w:t xml:space="preserve"> NO ATENDIDA</w:t>
      </w:r>
    </w:p>
    <w:p w:rsidR="00C675EA" w:rsidRPr="00BB7EAF" w:rsidRDefault="00C675EA" w:rsidP="00BB7EAF">
      <w:pPr>
        <w:pStyle w:val="Prrafodelista"/>
        <w:ind w:left="1068"/>
        <w:jc w:val="both"/>
      </w:pPr>
    </w:p>
    <w:p w:rsidR="00F15373" w:rsidRPr="00BB7EAF" w:rsidRDefault="00F15373" w:rsidP="00BB7EAF">
      <w:pPr>
        <w:jc w:val="both"/>
        <w:rPr>
          <w:rFonts w:cs="Calibri"/>
          <w:b/>
          <w:szCs w:val="20"/>
        </w:rPr>
      </w:pPr>
      <w:r w:rsidRPr="00BB7EAF">
        <w:rPr>
          <w:rFonts w:cs="Calibri"/>
          <w:b/>
          <w:szCs w:val="20"/>
        </w:rPr>
        <w:t>XVI.- Las leyes, reglamentos, decretos, circulares y demás normas que les resulten aplicables;</w:t>
      </w:r>
    </w:p>
    <w:p w:rsidR="00363722" w:rsidRPr="00BB7EAF" w:rsidRDefault="00B33387" w:rsidP="00BB7EAF">
      <w:pPr>
        <w:pStyle w:val="Prrafodelista"/>
        <w:numPr>
          <w:ilvl w:val="0"/>
          <w:numId w:val="19"/>
        </w:numPr>
        <w:jc w:val="both"/>
        <w:rPr>
          <w:rFonts w:cs="Calibri"/>
          <w:szCs w:val="20"/>
        </w:rPr>
      </w:pPr>
      <w:r w:rsidRPr="00BB7EAF">
        <w:rPr>
          <w:rFonts w:cs="Calibri"/>
          <w:szCs w:val="20"/>
        </w:rPr>
        <w:t xml:space="preserve">se omite incluir en el listado de normatividad aplicable la Constitución Política de los Estados Unidos de </w:t>
      </w:r>
      <w:r w:rsidR="00034977" w:rsidRPr="00BB7EAF">
        <w:rPr>
          <w:rFonts w:cs="Calibri"/>
          <w:szCs w:val="20"/>
        </w:rPr>
        <w:t>Mexicanos y  la versión conteniendo la última reforma a la Ley de Transparencia y Acceso a la Información Pública para el Estado de Baja California</w:t>
      </w:r>
      <w:r w:rsidR="00255C38" w:rsidRPr="00BB7EAF">
        <w:rPr>
          <w:rFonts w:cs="Calibri"/>
          <w:szCs w:val="20"/>
        </w:rPr>
        <w:t>.</w:t>
      </w:r>
      <w:r w:rsidR="002E5F0F" w:rsidRPr="00BB7EAF">
        <w:rPr>
          <w:rFonts w:cs="Calibri"/>
          <w:szCs w:val="20"/>
        </w:rPr>
        <w:t xml:space="preserve">                    </w:t>
      </w:r>
      <w:r w:rsidR="002E5F0F" w:rsidRPr="00BB7EAF">
        <w:rPr>
          <w:rFonts w:cs="Calibri"/>
          <w:b/>
          <w:szCs w:val="20"/>
        </w:rPr>
        <w:t xml:space="preserve"> NO ATENDIDA</w:t>
      </w:r>
    </w:p>
    <w:p w:rsidR="00F15373" w:rsidRPr="00BB7EAF" w:rsidRDefault="00F15373" w:rsidP="00BB7EAF">
      <w:pPr>
        <w:jc w:val="both"/>
        <w:rPr>
          <w:rFonts w:cs="Calibri"/>
          <w:b/>
          <w:szCs w:val="20"/>
        </w:rPr>
      </w:pPr>
      <w:r w:rsidRPr="00BB7EAF">
        <w:rPr>
          <w:rFonts w:cs="Calibri"/>
          <w:b/>
          <w:szCs w:val="20"/>
        </w:rPr>
        <w:t>XVII.- Las convocatorias a concurso o licitación pública para las obras públicas, concesiones, adquisiciones, enajenaciones, arrendamientos y prestación de servicios, así como los resultados de aquellos, que contendrán por lo menos:</w:t>
      </w:r>
    </w:p>
    <w:p w:rsidR="00F15373" w:rsidRPr="00BB7EAF" w:rsidRDefault="00F15373" w:rsidP="00BB7EAF">
      <w:pPr>
        <w:jc w:val="both"/>
        <w:rPr>
          <w:rFonts w:cs="Calibri"/>
          <w:b/>
          <w:szCs w:val="20"/>
        </w:rPr>
      </w:pPr>
      <w:r w:rsidRPr="00BB7EAF">
        <w:rPr>
          <w:rFonts w:cs="Calibri"/>
          <w:b/>
          <w:szCs w:val="20"/>
        </w:rPr>
        <w:t>a).- La justificación técnica y financiera;</w:t>
      </w:r>
    </w:p>
    <w:p w:rsidR="00F15373" w:rsidRPr="00BB7EAF" w:rsidRDefault="00F15373" w:rsidP="00BB7EAF">
      <w:pPr>
        <w:jc w:val="both"/>
        <w:rPr>
          <w:rFonts w:cs="Calibri"/>
          <w:b/>
          <w:szCs w:val="20"/>
        </w:rPr>
      </w:pPr>
      <w:r w:rsidRPr="00BB7EAF">
        <w:rPr>
          <w:rFonts w:cs="Calibri"/>
          <w:b/>
          <w:szCs w:val="20"/>
        </w:rPr>
        <w:lastRenderedPageBreak/>
        <w:t>b).- Número de Identificación precisa del contrato, el monto, el nombre o razón social de la persona física o moral con quien se haya celebrado el contrato, el plazo y demás condiciones de cumplimiento; y</w:t>
      </w:r>
    </w:p>
    <w:p w:rsidR="009E4C7A" w:rsidRPr="00BB7EAF" w:rsidRDefault="00F15373" w:rsidP="00BB7EAF">
      <w:pPr>
        <w:jc w:val="both"/>
        <w:rPr>
          <w:rFonts w:cs="Calibri"/>
          <w:b/>
          <w:szCs w:val="20"/>
        </w:rPr>
      </w:pPr>
      <w:r w:rsidRPr="00BB7EAF">
        <w:rPr>
          <w:rFonts w:cs="Calibri"/>
          <w:b/>
          <w:szCs w:val="20"/>
        </w:rPr>
        <w:t>c).- En su caso, las modificaciones a las condiciones originales del contrato.</w:t>
      </w:r>
    </w:p>
    <w:p w:rsidR="00C00810" w:rsidRPr="00BB7EAF" w:rsidRDefault="00C00810" w:rsidP="00BB7EAF">
      <w:pPr>
        <w:pStyle w:val="Sinespaciado"/>
      </w:pPr>
      <w:r w:rsidRPr="00BB7EAF">
        <w:t>No se emiten recomendaciones respecto a esta fracción.</w:t>
      </w:r>
    </w:p>
    <w:p w:rsidR="002E5F0F" w:rsidRPr="00BB7EAF" w:rsidRDefault="002E5F0F" w:rsidP="00BB7EAF">
      <w:pPr>
        <w:jc w:val="both"/>
        <w:rPr>
          <w:rFonts w:cs="Calibri"/>
          <w:b/>
          <w:szCs w:val="20"/>
        </w:rPr>
      </w:pPr>
    </w:p>
    <w:p w:rsidR="00F15373" w:rsidRPr="00BB7EAF" w:rsidRDefault="00F15373" w:rsidP="00BB7EAF">
      <w:pPr>
        <w:jc w:val="both"/>
        <w:rPr>
          <w:rFonts w:cs="Calibri"/>
          <w:b/>
          <w:szCs w:val="20"/>
        </w:rPr>
      </w:pPr>
      <w:r w:rsidRPr="00BB7EAF">
        <w:rPr>
          <w:rFonts w:cs="Calibri"/>
          <w:b/>
          <w:szCs w:val="20"/>
        </w:rPr>
        <w:t>XVIII.- Las adjudicaciones directas, señalando los motivos y fundamentos legales aplicados;</w:t>
      </w:r>
    </w:p>
    <w:p w:rsidR="00C00810" w:rsidRPr="00BB7EAF" w:rsidRDefault="00C00810" w:rsidP="00BB7EAF">
      <w:pPr>
        <w:pStyle w:val="Sinespaciado"/>
      </w:pPr>
      <w:r w:rsidRPr="00BB7EAF">
        <w:t>No se emiten recomendaciones respecto a esta fracción.</w:t>
      </w:r>
    </w:p>
    <w:p w:rsidR="00C00810" w:rsidRPr="00BB7EAF" w:rsidRDefault="00C00810" w:rsidP="00BB7EAF">
      <w:pPr>
        <w:jc w:val="both"/>
        <w:rPr>
          <w:rFonts w:cs="Calibri"/>
          <w:b/>
          <w:szCs w:val="20"/>
        </w:rPr>
      </w:pPr>
    </w:p>
    <w:p w:rsidR="00F15373" w:rsidRPr="00BB7EAF" w:rsidRDefault="00F15373" w:rsidP="00BB7EAF">
      <w:pPr>
        <w:jc w:val="both"/>
        <w:rPr>
          <w:rFonts w:cs="Calibri"/>
          <w:b/>
          <w:szCs w:val="20"/>
        </w:rPr>
      </w:pPr>
      <w:r w:rsidRPr="00BB7EAF">
        <w:rPr>
          <w:rFonts w:cs="Calibri"/>
          <w:b/>
          <w:szCs w:val="20"/>
        </w:rPr>
        <w:t>XIX.- Respecto de los contratos de servicios profesionales celebrados por el sujeto obligado, un listado que relacione el número de contrato, su fecha de celebración, el nombre o razón social del proveedor, el objeto del contrato y el monto del valor total de la contratación;</w:t>
      </w:r>
    </w:p>
    <w:p w:rsidR="00F15373" w:rsidRPr="00BB7EAF" w:rsidRDefault="00D273A0" w:rsidP="00BB7EAF">
      <w:pPr>
        <w:pStyle w:val="Prrafodelista"/>
        <w:numPr>
          <w:ilvl w:val="0"/>
          <w:numId w:val="35"/>
        </w:numPr>
        <w:jc w:val="both"/>
        <w:rPr>
          <w:rFonts w:cs="Calibri"/>
          <w:szCs w:val="20"/>
        </w:rPr>
      </w:pPr>
      <w:r w:rsidRPr="00BB7EAF">
        <w:rPr>
          <w:rFonts w:cs="Calibri"/>
          <w:szCs w:val="20"/>
        </w:rPr>
        <w:t xml:space="preserve">Se recomienda incorporar el </w:t>
      </w:r>
      <w:r w:rsidR="00850933" w:rsidRPr="00BB7EAF">
        <w:rPr>
          <w:rFonts w:cs="Calibri"/>
          <w:szCs w:val="20"/>
        </w:rPr>
        <w:t>número</w:t>
      </w:r>
      <w:r w:rsidRPr="00BB7EAF">
        <w:rPr>
          <w:rFonts w:cs="Calibri"/>
          <w:szCs w:val="20"/>
        </w:rPr>
        <w:t xml:space="preserve"> de contrato </w:t>
      </w:r>
      <w:r w:rsidR="00850933" w:rsidRPr="00BB7EAF">
        <w:rPr>
          <w:rFonts w:cs="Calibri"/>
          <w:szCs w:val="20"/>
        </w:rPr>
        <w:t>en el documento denominado</w:t>
      </w:r>
      <w:r w:rsidRPr="00BB7EAF">
        <w:rPr>
          <w:rFonts w:cs="Calibri"/>
          <w:szCs w:val="20"/>
        </w:rPr>
        <w:t xml:space="preserve"> </w:t>
      </w:r>
      <w:r w:rsidR="00850933" w:rsidRPr="00BB7EAF">
        <w:rPr>
          <w:rFonts w:cs="Calibri"/>
          <w:szCs w:val="20"/>
        </w:rPr>
        <w:t>“</w:t>
      </w:r>
      <w:r w:rsidRPr="00BB7EAF">
        <w:rPr>
          <w:rFonts w:cs="Calibri"/>
          <w:i/>
          <w:szCs w:val="20"/>
        </w:rPr>
        <w:t>Contratos de Servicios Profesionales emitidos por la Dirección de Normatividad y Políticas Administrativas</w:t>
      </w:r>
      <w:r w:rsidR="00850933" w:rsidRPr="00BB7EAF">
        <w:rPr>
          <w:rFonts w:cs="Calibri"/>
          <w:szCs w:val="20"/>
        </w:rPr>
        <w:t>”</w:t>
      </w:r>
      <w:r w:rsidRPr="00BB7EAF">
        <w:rPr>
          <w:rFonts w:cs="Calibri"/>
          <w:szCs w:val="20"/>
        </w:rPr>
        <w:t>.</w:t>
      </w:r>
      <w:r w:rsidR="002E5F0F" w:rsidRPr="00BB7EAF">
        <w:rPr>
          <w:rFonts w:cs="Calibri"/>
          <w:b/>
          <w:szCs w:val="20"/>
        </w:rPr>
        <w:t xml:space="preserve">  ATENDIDA</w:t>
      </w:r>
    </w:p>
    <w:p w:rsidR="00C675EA" w:rsidRPr="00BB7EAF" w:rsidRDefault="00C675EA" w:rsidP="00BB7EAF">
      <w:pPr>
        <w:pStyle w:val="Prrafodelista"/>
        <w:ind w:left="1212"/>
        <w:jc w:val="both"/>
        <w:rPr>
          <w:rFonts w:cs="Calibri"/>
          <w:szCs w:val="20"/>
        </w:rPr>
      </w:pPr>
    </w:p>
    <w:p w:rsidR="00F15373" w:rsidRPr="00BB7EAF" w:rsidRDefault="00F15373" w:rsidP="00BB7EAF">
      <w:pPr>
        <w:jc w:val="both"/>
        <w:rPr>
          <w:rFonts w:cs="Calibri"/>
          <w:b/>
          <w:szCs w:val="20"/>
        </w:rPr>
      </w:pPr>
      <w:r w:rsidRPr="00BB7EAF">
        <w:rPr>
          <w:rFonts w:cs="Calibri"/>
          <w:b/>
          <w:szCs w:val="20"/>
        </w:rPr>
        <w:t>XX.- El domicilio, número telefónico y la dirección electrónica de la Unidad de Transparencia, así como del Órgano Garante;</w:t>
      </w:r>
    </w:p>
    <w:p w:rsidR="00363722" w:rsidRPr="00BB7EAF" w:rsidRDefault="00363722" w:rsidP="00BB7EAF">
      <w:pPr>
        <w:pStyle w:val="Prrafodelista"/>
        <w:numPr>
          <w:ilvl w:val="0"/>
          <w:numId w:val="14"/>
        </w:numPr>
        <w:jc w:val="both"/>
        <w:rPr>
          <w:sz w:val="23"/>
          <w:szCs w:val="23"/>
        </w:rPr>
      </w:pPr>
      <w:r w:rsidRPr="00BB7EAF">
        <w:rPr>
          <w:sz w:val="23"/>
          <w:szCs w:val="23"/>
        </w:rPr>
        <w:t xml:space="preserve">Se </w:t>
      </w:r>
      <w:r w:rsidR="00C564A8" w:rsidRPr="00BB7EAF">
        <w:rPr>
          <w:sz w:val="23"/>
          <w:szCs w:val="23"/>
        </w:rPr>
        <w:t>recomienda</w:t>
      </w:r>
      <w:r w:rsidRPr="00BB7EAF">
        <w:rPr>
          <w:sz w:val="23"/>
          <w:szCs w:val="23"/>
        </w:rPr>
        <w:t xml:space="preserve"> hacer mención del nombre del servidor </w:t>
      </w:r>
      <w:r w:rsidR="00FF3F5E" w:rsidRPr="00BB7EAF">
        <w:rPr>
          <w:sz w:val="23"/>
          <w:szCs w:val="23"/>
        </w:rPr>
        <w:t>público</w:t>
      </w:r>
      <w:r w:rsidRPr="00BB7EAF">
        <w:rPr>
          <w:sz w:val="23"/>
          <w:szCs w:val="23"/>
        </w:rPr>
        <w:t xml:space="preserve"> que desempeña las funciones de Titular de la Unidad de Transparencia del ITAIPBC, así como la vinculación con el cargo.</w:t>
      </w:r>
      <w:r w:rsidR="002E5F0F" w:rsidRPr="00BB7EAF">
        <w:rPr>
          <w:rFonts w:cs="Calibri"/>
          <w:b/>
          <w:szCs w:val="20"/>
        </w:rPr>
        <w:t xml:space="preserve"> NO ATENDIDA</w:t>
      </w:r>
    </w:p>
    <w:p w:rsidR="00C675EA" w:rsidRPr="00BB7EAF" w:rsidRDefault="00C675EA" w:rsidP="00BB7EAF">
      <w:pPr>
        <w:pStyle w:val="Prrafodelista"/>
        <w:ind w:left="1146"/>
        <w:jc w:val="both"/>
        <w:rPr>
          <w:sz w:val="23"/>
          <w:szCs w:val="23"/>
        </w:rPr>
      </w:pPr>
    </w:p>
    <w:p w:rsidR="00F15373" w:rsidRPr="00BB7EAF" w:rsidRDefault="00F15373" w:rsidP="00BB7EAF">
      <w:pPr>
        <w:jc w:val="both"/>
        <w:rPr>
          <w:rFonts w:cs="Calibri"/>
          <w:b/>
          <w:szCs w:val="20"/>
        </w:rPr>
      </w:pPr>
      <w:r w:rsidRPr="00BB7EAF">
        <w:rPr>
          <w:rFonts w:cs="Calibri"/>
          <w:b/>
          <w:szCs w:val="20"/>
        </w:rPr>
        <w:t>XXI.- La relación de solicitudes de acceso a la información pública y las respuestas que se les den;</w:t>
      </w:r>
    </w:p>
    <w:p w:rsidR="00F15373" w:rsidRPr="00BB7EAF" w:rsidRDefault="00413AE4" w:rsidP="00BB7EAF">
      <w:pPr>
        <w:pStyle w:val="Sinespaciado"/>
      </w:pPr>
      <w:r w:rsidRPr="00BB7EAF">
        <w:t>No se emiten recomendaciones respecto a esta fracción.</w:t>
      </w:r>
    </w:p>
    <w:p w:rsidR="00C675EA" w:rsidRPr="00BB7EAF" w:rsidRDefault="00C675EA" w:rsidP="00BB7EAF">
      <w:pPr>
        <w:jc w:val="both"/>
        <w:rPr>
          <w:rFonts w:cs="Calibri"/>
          <w:szCs w:val="20"/>
        </w:rPr>
      </w:pPr>
    </w:p>
    <w:p w:rsidR="00F15373" w:rsidRPr="00BB7EAF" w:rsidRDefault="00F15373" w:rsidP="00BB7EAF">
      <w:pPr>
        <w:jc w:val="both"/>
        <w:rPr>
          <w:rFonts w:cs="Calibri"/>
          <w:b/>
          <w:szCs w:val="20"/>
        </w:rPr>
      </w:pPr>
      <w:r w:rsidRPr="00BB7EAF">
        <w:rPr>
          <w:rFonts w:cs="Calibri"/>
          <w:b/>
          <w:szCs w:val="20"/>
        </w:rPr>
        <w:t>XXII La relación de los servidores públicos comisionados fuera de su área de adscripción por cualquier causa, incluso de carácter sindical;</w:t>
      </w:r>
    </w:p>
    <w:p w:rsidR="00C564A8" w:rsidRPr="00BB7EAF" w:rsidRDefault="00C564A8" w:rsidP="00BB7EAF">
      <w:pPr>
        <w:pStyle w:val="Prrafodelista"/>
        <w:numPr>
          <w:ilvl w:val="0"/>
          <w:numId w:val="29"/>
        </w:numPr>
        <w:jc w:val="both"/>
        <w:rPr>
          <w:rFonts w:cs="Calibri"/>
          <w:b/>
          <w:szCs w:val="20"/>
        </w:rPr>
      </w:pPr>
      <w:r w:rsidRPr="00BB7EAF">
        <w:rPr>
          <w:rFonts w:cs="Calibri"/>
          <w:szCs w:val="20"/>
        </w:rPr>
        <w:t xml:space="preserve">Se recomienda publicar en esta fracción la fecha de actualización, tal y como lo establece el artículo 12 de la LTAIPBC: </w:t>
      </w:r>
      <w:r w:rsidRPr="00BB7EAF">
        <w:rPr>
          <w:rFonts w:cs="Calibri"/>
          <w:i/>
          <w:szCs w:val="20"/>
        </w:rPr>
        <w:t>“…</w:t>
      </w:r>
      <w:r w:rsidRPr="00BB7EAF">
        <w:rPr>
          <w:i/>
          <w:sz w:val="23"/>
          <w:szCs w:val="23"/>
        </w:rPr>
        <w:t>En todos los casos se deberá indicar la fecha de la última actualización por cada rubro.</w:t>
      </w:r>
      <w:r w:rsidR="002E5F0F" w:rsidRPr="00BB7EAF">
        <w:rPr>
          <w:rFonts w:cs="Calibri"/>
          <w:b/>
          <w:szCs w:val="20"/>
        </w:rPr>
        <w:t xml:space="preserve"> ATENDIDA</w:t>
      </w:r>
    </w:p>
    <w:p w:rsidR="00C675EA" w:rsidRPr="00BB7EAF" w:rsidRDefault="00C675EA" w:rsidP="00BB7EAF">
      <w:pPr>
        <w:pStyle w:val="Prrafodelista"/>
        <w:ind w:left="1070"/>
        <w:jc w:val="both"/>
        <w:rPr>
          <w:rFonts w:cs="Calibri"/>
          <w:b/>
          <w:szCs w:val="20"/>
        </w:rPr>
      </w:pPr>
    </w:p>
    <w:p w:rsidR="00F15373" w:rsidRPr="00BB7EAF" w:rsidRDefault="00F15373" w:rsidP="00BB7EAF">
      <w:pPr>
        <w:jc w:val="both"/>
        <w:rPr>
          <w:rFonts w:cs="Calibri"/>
          <w:b/>
          <w:szCs w:val="20"/>
        </w:rPr>
      </w:pPr>
      <w:r w:rsidRPr="00BB7EAF">
        <w:rPr>
          <w:rFonts w:cs="Calibri"/>
          <w:b/>
          <w:szCs w:val="20"/>
        </w:rPr>
        <w:lastRenderedPageBreak/>
        <w:t>XXIII.- Los dictámenes de las auditorías que se practiquen a los sujetos obligados;</w:t>
      </w:r>
    </w:p>
    <w:p w:rsidR="00363722" w:rsidRPr="00BB7EAF" w:rsidRDefault="00C564A8" w:rsidP="00BB7EAF">
      <w:pPr>
        <w:pStyle w:val="Prrafodelista"/>
        <w:numPr>
          <w:ilvl w:val="0"/>
          <w:numId w:val="21"/>
        </w:numPr>
        <w:jc w:val="both"/>
      </w:pPr>
      <w:r w:rsidRPr="00BB7EAF">
        <w:rPr>
          <w:rFonts w:cs="Calibri"/>
          <w:szCs w:val="20"/>
        </w:rPr>
        <w:t xml:space="preserve">Se recomienda publicar en esta fracción la fecha de actualización, tal y como lo establece el artículo 12 de la LTAIPBC: </w:t>
      </w:r>
      <w:r w:rsidRPr="00BB7EAF">
        <w:rPr>
          <w:rFonts w:cs="Calibri"/>
          <w:i/>
          <w:szCs w:val="20"/>
        </w:rPr>
        <w:t>“…</w:t>
      </w:r>
      <w:r w:rsidRPr="00BB7EAF">
        <w:rPr>
          <w:i/>
          <w:sz w:val="23"/>
          <w:szCs w:val="23"/>
        </w:rPr>
        <w:t>En todos los casos se deberá indicar la fecha de la última actualización por cada rubro…</w:t>
      </w:r>
      <w:r w:rsidRPr="00BB7EAF">
        <w:rPr>
          <w:sz w:val="23"/>
          <w:szCs w:val="23"/>
        </w:rPr>
        <w:t>”.</w:t>
      </w:r>
      <w:r w:rsidRPr="00BB7EAF">
        <w:rPr>
          <w:rFonts w:cs="Calibri"/>
          <w:szCs w:val="20"/>
        </w:rPr>
        <w:t xml:space="preserve"> </w:t>
      </w:r>
      <w:r w:rsidR="00BE3862" w:rsidRPr="00BB7EAF">
        <w:rPr>
          <w:rFonts w:cs="Calibri"/>
          <w:b/>
          <w:szCs w:val="20"/>
        </w:rPr>
        <w:t>ATENDIDA</w:t>
      </w:r>
    </w:p>
    <w:p w:rsidR="00A53AB6" w:rsidRPr="00BB7EAF" w:rsidRDefault="00A53AB6" w:rsidP="00BB7EAF">
      <w:pPr>
        <w:pStyle w:val="Prrafodelista"/>
        <w:numPr>
          <w:ilvl w:val="0"/>
          <w:numId w:val="21"/>
        </w:numPr>
        <w:jc w:val="both"/>
      </w:pPr>
      <w:r w:rsidRPr="00BB7EAF">
        <w:t>Se recomienda publicar el enlace directo a los documentos relacionados a los dictámenes de la cuenta pública emitidos por el Órgano de Fiscalización así como incorporar los mismo rubros de información que se reportan  para el caso de los dictámenes de auditorías emitidos por la Dirección de control y evaluación gubernamental.</w:t>
      </w:r>
      <w:r w:rsidR="00BE3862" w:rsidRPr="00BB7EAF">
        <w:rPr>
          <w:rFonts w:cs="Calibri"/>
          <w:b/>
          <w:szCs w:val="20"/>
        </w:rPr>
        <w:t xml:space="preserve"> NO ATENDIDA</w:t>
      </w:r>
    </w:p>
    <w:p w:rsidR="00C675EA" w:rsidRPr="00BB7EAF" w:rsidRDefault="00C675EA" w:rsidP="00BB7EAF">
      <w:pPr>
        <w:pStyle w:val="Prrafodelista"/>
        <w:ind w:left="1068"/>
        <w:jc w:val="both"/>
      </w:pPr>
    </w:p>
    <w:p w:rsidR="00F15373" w:rsidRPr="00BB7EAF" w:rsidRDefault="00F15373" w:rsidP="00BB7EAF">
      <w:pPr>
        <w:jc w:val="both"/>
        <w:rPr>
          <w:rFonts w:cs="Calibri"/>
          <w:b/>
          <w:szCs w:val="20"/>
        </w:rPr>
      </w:pPr>
      <w:r w:rsidRPr="00BB7EAF">
        <w:rPr>
          <w:rFonts w:cs="Calibri"/>
          <w:b/>
          <w:szCs w:val="20"/>
        </w:rPr>
        <w:t>XXIV.-Los informes que por disposición legal generen los sujetos obligados; y</w:t>
      </w:r>
    </w:p>
    <w:p w:rsidR="00C10DE5" w:rsidRPr="00BB7EAF" w:rsidRDefault="00C10DE5" w:rsidP="00BB7EAF">
      <w:pPr>
        <w:pStyle w:val="Prrafodelista"/>
        <w:numPr>
          <w:ilvl w:val="0"/>
          <w:numId w:val="6"/>
        </w:numPr>
        <w:jc w:val="both"/>
        <w:rPr>
          <w:i/>
          <w:sz w:val="23"/>
          <w:szCs w:val="23"/>
        </w:rPr>
      </w:pPr>
      <w:r w:rsidRPr="00BB7EAF">
        <w:rPr>
          <w:rFonts w:cs="Calibri"/>
          <w:szCs w:val="20"/>
        </w:rPr>
        <w:t>Se recomienda revisar el enlace correspondiente al eje denominado (Gobierno)</w:t>
      </w:r>
      <w:r w:rsidR="00AB08AB" w:rsidRPr="00BB7EAF">
        <w:rPr>
          <w:rFonts w:cs="Calibri"/>
          <w:szCs w:val="20"/>
        </w:rPr>
        <w:t xml:space="preserve"> correspondiente al 6to. Informe de Gobierno, </w:t>
      </w:r>
      <w:r w:rsidRPr="00BB7EAF">
        <w:rPr>
          <w:rFonts w:cs="Calibri"/>
          <w:szCs w:val="20"/>
        </w:rPr>
        <w:t xml:space="preserve"> toda vez que este se encuentra roto y no despliega información alguna. </w:t>
      </w:r>
      <w:r w:rsidR="00BE3862" w:rsidRPr="00BB7EAF">
        <w:rPr>
          <w:rFonts w:cs="Calibri"/>
          <w:b/>
          <w:szCs w:val="20"/>
        </w:rPr>
        <w:t>ATENDIDA</w:t>
      </w:r>
    </w:p>
    <w:p w:rsidR="00363722" w:rsidRPr="00BB7EAF" w:rsidRDefault="00C10DE5" w:rsidP="00BB7EAF">
      <w:pPr>
        <w:pStyle w:val="Prrafodelista"/>
        <w:numPr>
          <w:ilvl w:val="0"/>
          <w:numId w:val="6"/>
        </w:numPr>
        <w:jc w:val="both"/>
        <w:rPr>
          <w:sz w:val="23"/>
          <w:szCs w:val="23"/>
        </w:rPr>
      </w:pPr>
      <w:r w:rsidRPr="00BB7EAF">
        <w:rPr>
          <w:rFonts w:cs="Calibri"/>
          <w:szCs w:val="20"/>
        </w:rPr>
        <w:t>Se recomienda publicar para cada informe el fundamento legal por el cual es presentado.</w:t>
      </w:r>
      <w:r w:rsidR="00905DC2" w:rsidRPr="00BB7EAF">
        <w:rPr>
          <w:rFonts w:cs="Calibri"/>
          <w:szCs w:val="20"/>
        </w:rPr>
        <w:t xml:space="preserve"> </w:t>
      </w:r>
      <w:r w:rsidR="00BE3862" w:rsidRPr="00BB7EAF">
        <w:rPr>
          <w:rFonts w:cs="Calibri"/>
          <w:b/>
          <w:szCs w:val="20"/>
        </w:rPr>
        <w:t>NO ATENDIDA</w:t>
      </w:r>
    </w:p>
    <w:p w:rsidR="00C675EA" w:rsidRPr="00BB7EAF" w:rsidRDefault="00C675EA" w:rsidP="00BB7EAF">
      <w:pPr>
        <w:pStyle w:val="Prrafodelista"/>
        <w:ind w:left="1068"/>
        <w:jc w:val="both"/>
        <w:rPr>
          <w:sz w:val="23"/>
          <w:szCs w:val="23"/>
        </w:rPr>
      </w:pPr>
    </w:p>
    <w:p w:rsidR="00F15373" w:rsidRPr="00BB7EAF" w:rsidRDefault="00F15373" w:rsidP="00BB7EAF">
      <w:pPr>
        <w:jc w:val="both"/>
        <w:rPr>
          <w:rFonts w:cs="Calibri"/>
          <w:b/>
          <w:szCs w:val="20"/>
        </w:rPr>
      </w:pPr>
      <w:r w:rsidRPr="00BB7EAF">
        <w:rPr>
          <w:rFonts w:cs="Calibri"/>
          <w:b/>
          <w:szCs w:val="20"/>
        </w:rPr>
        <w:t>XXV.- Cualquier otra información que sea de utilidad o se considere relevante, además de aquella que, con base en la información estadística, responda a las preguntas formuladas con más frecuencia por el público.</w:t>
      </w:r>
    </w:p>
    <w:p w:rsidR="00CA3303" w:rsidRPr="00BB7EAF" w:rsidRDefault="00CA3303" w:rsidP="00BB7EAF">
      <w:pPr>
        <w:pStyle w:val="Sinespaciado"/>
      </w:pPr>
      <w:r w:rsidRPr="00BB7EAF">
        <w:t>No se emiten recomendaciones respecto a esta fracción.</w:t>
      </w:r>
    </w:p>
    <w:p w:rsidR="00C675EA" w:rsidRPr="00BB7EAF" w:rsidRDefault="00C675EA" w:rsidP="00BB7EAF">
      <w:pPr>
        <w:jc w:val="both"/>
        <w:rPr>
          <w:rFonts w:cs="Calibri"/>
          <w:szCs w:val="20"/>
        </w:rPr>
      </w:pPr>
    </w:p>
    <w:p w:rsidR="00D1682F" w:rsidRPr="00BB7EAF" w:rsidRDefault="00D1682F" w:rsidP="00BB7EAF">
      <w:pPr>
        <w:jc w:val="both"/>
        <w:rPr>
          <w:rFonts w:cs="Calibri"/>
          <w:szCs w:val="20"/>
        </w:rPr>
      </w:pPr>
    </w:p>
    <w:p w:rsidR="00D1682F" w:rsidRPr="00BB7EAF" w:rsidRDefault="00D1682F" w:rsidP="00BB7EAF">
      <w:pPr>
        <w:jc w:val="both"/>
        <w:rPr>
          <w:rFonts w:cs="Calibri"/>
          <w:szCs w:val="20"/>
        </w:rPr>
      </w:pPr>
    </w:p>
    <w:p w:rsidR="00D1682F" w:rsidRPr="00BB7EAF" w:rsidRDefault="00D1682F" w:rsidP="00BB7EAF">
      <w:pPr>
        <w:jc w:val="both"/>
        <w:rPr>
          <w:rFonts w:cs="Calibri"/>
          <w:szCs w:val="20"/>
        </w:rPr>
      </w:pPr>
    </w:p>
    <w:p w:rsidR="00CE64DF" w:rsidRPr="00BB7EAF" w:rsidRDefault="00CE64DF" w:rsidP="00BB7EAF">
      <w:pPr>
        <w:jc w:val="both"/>
        <w:rPr>
          <w:rFonts w:cs="Calibri"/>
          <w:szCs w:val="20"/>
        </w:rPr>
      </w:pPr>
    </w:p>
    <w:p w:rsidR="00CE64DF" w:rsidRPr="00BB7EAF" w:rsidRDefault="00CE64DF" w:rsidP="00BB7EAF">
      <w:pPr>
        <w:jc w:val="both"/>
        <w:rPr>
          <w:rFonts w:cs="Calibri"/>
          <w:szCs w:val="20"/>
        </w:rPr>
      </w:pPr>
    </w:p>
    <w:p w:rsidR="00CE64DF" w:rsidRPr="00BB7EAF" w:rsidRDefault="00CE64DF" w:rsidP="00BB7EAF">
      <w:pPr>
        <w:jc w:val="both"/>
        <w:rPr>
          <w:rFonts w:cs="Calibri"/>
          <w:szCs w:val="20"/>
        </w:rPr>
      </w:pPr>
    </w:p>
    <w:p w:rsidR="00CE64DF" w:rsidRPr="00BB7EAF" w:rsidRDefault="00CE64DF" w:rsidP="00BB7EAF">
      <w:pPr>
        <w:jc w:val="both"/>
        <w:rPr>
          <w:rFonts w:cs="Calibri"/>
          <w:szCs w:val="20"/>
        </w:rPr>
      </w:pPr>
    </w:p>
    <w:p w:rsidR="00CE64DF" w:rsidRPr="00BB7EAF" w:rsidRDefault="00CE64DF" w:rsidP="00BB7EAF">
      <w:pPr>
        <w:jc w:val="both"/>
        <w:rPr>
          <w:rFonts w:cs="Calibri"/>
          <w:szCs w:val="20"/>
        </w:rPr>
      </w:pPr>
    </w:p>
    <w:p w:rsidR="006F338F" w:rsidRPr="00BB7EAF" w:rsidRDefault="006F338F" w:rsidP="00BB7EAF">
      <w:pPr>
        <w:jc w:val="both"/>
        <w:rPr>
          <w:rFonts w:asciiTheme="minorHAnsi" w:hAnsiTheme="minorHAnsi" w:cstheme="minorHAnsi"/>
          <w:b/>
          <w:szCs w:val="20"/>
        </w:rPr>
      </w:pPr>
      <w:bookmarkStart w:id="0" w:name="_GoBack"/>
      <w:bookmarkEnd w:id="0"/>
      <w:r w:rsidRPr="00BB7EAF">
        <w:rPr>
          <w:rFonts w:asciiTheme="minorHAnsi" w:hAnsiTheme="minorHAnsi" w:cstheme="minorHAnsi"/>
          <w:b/>
          <w:szCs w:val="20"/>
        </w:rPr>
        <w:lastRenderedPageBreak/>
        <w:t>Artículo 14.- Además de lo previsto en el artículo 11 que le resulte aplicable, el Poder Ejecutivo del Estado deberá dar a conocer:</w:t>
      </w:r>
    </w:p>
    <w:p w:rsidR="006F338F" w:rsidRPr="00BB7EAF" w:rsidRDefault="006F338F" w:rsidP="00BB7EAF">
      <w:pPr>
        <w:autoSpaceDE w:val="0"/>
        <w:autoSpaceDN w:val="0"/>
        <w:adjustRightInd w:val="0"/>
        <w:spacing w:after="0" w:line="240" w:lineRule="auto"/>
        <w:jc w:val="both"/>
        <w:rPr>
          <w:b/>
          <w:sz w:val="23"/>
          <w:szCs w:val="23"/>
        </w:rPr>
      </w:pPr>
      <w:r w:rsidRPr="00BB7EAF">
        <w:rPr>
          <w:b/>
          <w:bCs/>
          <w:sz w:val="23"/>
          <w:szCs w:val="23"/>
        </w:rPr>
        <w:t xml:space="preserve">I.- </w:t>
      </w:r>
      <w:r w:rsidRPr="00BB7EAF">
        <w:rPr>
          <w:b/>
          <w:sz w:val="23"/>
          <w:szCs w:val="23"/>
        </w:rPr>
        <w:t>El Plan Estatal de Desarrollo;</w:t>
      </w:r>
    </w:p>
    <w:p w:rsidR="006F338F" w:rsidRPr="00BB7EAF" w:rsidRDefault="006F338F" w:rsidP="00BB7EAF">
      <w:pPr>
        <w:autoSpaceDE w:val="0"/>
        <w:autoSpaceDN w:val="0"/>
        <w:adjustRightInd w:val="0"/>
        <w:spacing w:after="0" w:line="240" w:lineRule="auto"/>
        <w:jc w:val="both"/>
        <w:rPr>
          <w:b/>
          <w:sz w:val="23"/>
          <w:szCs w:val="23"/>
        </w:rPr>
      </w:pPr>
    </w:p>
    <w:p w:rsidR="00385F29" w:rsidRPr="00BB7EAF" w:rsidRDefault="0068601C" w:rsidP="00BB7EAF">
      <w:pPr>
        <w:pStyle w:val="Prrafodelista"/>
        <w:numPr>
          <w:ilvl w:val="0"/>
          <w:numId w:val="44"/>
        </w:numPr>
        <w:jc w:val="both"/>
        <w:rPr>
          <w:rFonts w:asciiTheme="minorHAnsi" w:hAnsiTheme="minorHAnsi" w:cstheme="minorHAnsi"/>
          <w:szCs w:val="20"/>
        </w:rPr>
      </w:pPr>
      <w:r w:rsidRPr="00BB7EAF">
        <w:rPr>
          <w:rFonts w:asciiTheme="minorHAnsi" w:hAnsiTheme="minorHAnsi" w:cstheme="minorHAnsi"/>
          <w:szCs w:val="20"/>
        </w:rPr>
        <w:t>Se recomienda publicar la fecha de actualización conforme lo establecido en la fracción I del artículo 19 del Reglamento de la Ley de Transparencia y Acceso a la Información Pública para las Dependencias y Entidades del Poder Ejecutivo del Estado de Baja California.</w:t>
      </w:r>
      <w:r w:rsidR="00BE3862" w:rsidRPr="00BB7EAF">
        <w:rPr>
          <w:rFonts w:cs="Calibri"/>
          <w:b/>
          <w:szCs w:val="20"/>
        </w:rPr>
        <w:t xml:space="preserve"> NO ATENDIDA</w:t>
      </w:r>
    </w:p>
    <w:p w:rsidR="00385F29" w:rsidRPr="00BB7EAF" w:rsidRDefault="00385F29" w:rsidP="00BB7EAF">
      <w:pPr>
        <w:autoSpaceDE w:val="0"/>
        <w:autoSpaceDN w:val="0"/>
        <w:adjustRightInd w:val="0"/>
        <w:spacing w:after="0" w:line="240" w:lineRule="auto"/>
        <w:jc w:val="both"/>
        <w:rPr>
          <w:rFonts w:asciiTheme="minorHAnsi" w:hAnsiTheme="minorHAnsi"/>
          <w:b/>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b/>
          <w:lang w:eastAsia="es-MX"/>
        </w:rPr>
      </w:pPr>
      <w:r w:rsidRPr="00BB7EAF">
        <w:rPr>
          <w:rFonts w:asciiTheme="minorHAnsi" w:hAnsiTheme="minorHAnsi"/>
          <w:b/>
          <w:lang w:eastAsia="es-MX"/>
        </w:rPr>
        <w:t>II.- Los planes y programas que se deriven de la aplicación de la Ley de Planeación para el Estado de Baja California;</w:t>
      </w:r>
    </w:p>
    <w:p w:rsidR="006F338F" w:rsidRPr="00BB7EAF" w:rsidRDefault="006F338F" w:rsidP="00BB7EAF">
      <w:pPr>
        <w:autoSpaceDE w:val="0"/>
        <w:autoSpaceDN w:val="0"/>
        <w:adjustRightInd w:val="0"/>
        <w:spacing w:after="0" w:line="240" w:lineRule="auto"/>
        <w:jc w:val="both"/>
        <w:rPr>
          <w:rFonts w:asciiTheme="minorHAnsi" w:hAnsiTheme="minorHAnsi"/>
          <w:b/>
          <w:lang w:eastAsia="es-MX"/>
        </w:rPr>
      </w:pPr>
    </w:p>
    <w:p w:rsidR="00C675EA" w:rsidRPr="00BB7EAF" w:rsidRDefault="00CA3303" w:rsidP="00BB7EAF">
      <w:pPr>
        <w:jc w:val="both"/>
        <w:rPr>
          <w:rFonts w:asciiTheme="minorHAnsi" w:hAnsiTheme="minorHAnsi" w:cstheme="minorHAnsi"/>
          <w:szCs w:val="20"/>
        </w:rPr>
      </w:pPr>
      <w:r w:rsidRPr="00BB7EAF">
        <w:rPr>
          <w:rFonts w:asciiTheme="minorHAnsi" w:hAnsiTheme="minorHAnsi" w:cstheme="minorHAnsi"/>
          <w:szCs w:val="20"/>
        </w:rPr>
        <w:t>No se emiten recomendaciones respecto a esta fracción.</w:t>
      </w: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b/>
          <w:lang w:eastAsia="es-MX"/>
        </w:rPr>
      </w:pPr>
      <w:r w:rsidRPr="00BB7EAF">
        <w:rPr>
          <w:rFonts w:asciiTheme="minorHAnsi" w:hAnsiTheme="minorHAnsi"/>
          <w:b/>
          <w:lang w:eastAsia="es-MX"/>
        </w:rPr>
        <w:t>III.- El listado de patentes de notarios otorgadas, en términos de la Ley respectiva;</w:t>
      </w: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6F338F" w:rsidRPr="00BB7EAF" w:rsidRDefault="006F338F" w:rsidP="00BB7EAF">
      <w:pPr>
        <w:jc w:val="both"/>
        <w:rPr>
          <w:rFonts w:asciiTheme="minorHAnsi" w:hAnsiTheme="minorHAnsi" w:cstheme="minorHAnsi"/>
          <w:szCs w:val="20"/>
        </w:rPr>
      </w:pPr>
      <w:r w:rsidRPr="00BB7EAF">
        <w:rPr>
          <w:rFonts w:asciiTheme="minorHAnsi" w:hAnsiTheme="minorHAnsi" w:cstheme="minorHAnsi"/>
          <w:szCs w:val="20"/>
        </w:rPr>
        <w:t>No se emiten recomendaciones respecto a esta fracción.</w:t>
      </w:r>
    </w:p>
    <w:p w:rsidR="00D9042F" w:rsidRPr="00BB7EAF" w:rsidRDefault="00D9042F" w:rsidP="00BB7EAF">
      <w:pPr>
        <w:autoSpaceDE w:val="0"/>
        <w:autoSpaceDN w:val="0"/>
        <w:adjustRightInd w:val="0"/>
        <w:spacing w:after="0" w:line="240" w:lineRule="auto"/>
        <w:jc w:val="both"/>
        <w:rPr>
          <w:rFonts w:asciiTheme="minorHAnsi" w:hAnsiTheme="minorHAnsi"/>
          <w:b/>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b/>
          <w:lang w:eastAsia="es-MX"/>
        </w:rPr>
      </w:pPr>
      <w:r w:rsidRPr="00BB7EAF">
        <w:rPr>
          <w:rFonts w:asciiTheme="minorHAnsi" w:hAnsiTheme="minorHAnsi"/>
          <w:b/>
          <w:lang w:eastAsia="es-MX"/>
        </w:rPr>
        <w:t>IV.- Los ingresos por concepto de participaciones federales, así como por la recaudación fiscal que se integre a la hacienda pública;</w:t>
      </w: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7773D4" w:rsidRPr="00BB7EAF" w:rsidRDefault="007773D4" w:rsidP="00BB7EAF">
      <w:pPr>
        <w:autoSpaceDE w:val="0"/>
        <w:autoSpaceDN w:val="0"/>
        <w:adjustRightInd w:val="0"/>
        <w:spacing w:after="0" w:line="240" w:lineRule="auto"/>
        <w:jc w:val="both"/>
        <w:rPr>
          <w:rFonts w:asciiTheme="minorHAnsi" w:hAnsiTheme="minorHAnsi" w:cstheme="minorHAnsi"/>
          <w:szCs w:val="20"/>
        </w:rPr>
      </w:pPr>
      <w:r w:rsidRPr="00BB7EAF">
        <w:rPr>
          <w:rFonts w:asciiTheme="minorHAnsi" w:hAnsiTheme="minorHAnsi" w:cstheme="minorHAnsi"/>
          <w:szCs w:val="20"/>
        </w:rPr>
        <w:t>No se emiten recomendaciones respecto a esta fracción.</w:t>
      </w:r>
    </w:p>
    <w:p w:rsidR="00C675EA" w:rsidRPr="00BB7EAF" w:rsidRDefault="00C675EA" w:rsidP="00BB7EAF">
      <w:pPr>
        <w:pStyle w:val="Prrafodelista"/>
        <w:ind w:left="1070"/>
        <w:jc w:val="both"/>
        <w:rPr>
          <w:rFonts w:asciiTheme="minorHAnsi" w:hAnsiTheme="minorHAnsi" w:cstheme="minorHAnsi"/>
          <w:szCs w:val="20"/>
        </w:rPr>
      </w:pPr>
    </w:p>
    <w:p w:rsidR="006F338F" w:rsidRPr="00BB7EAF" w:rsidRDefault="006F338F" w:rsidP="00BB7EAF">
      <w:pPr>
        <w:autoSpaceDE w:val="0"/>
        <w:autoSpaceDN w:val="0"/>
        <w:adjustRightInd w:val="0"/>
        <w:spacing w:after="0" w:line="240" w:lineRule="auto"/>
        <w:jc w:val="both"/>
        <w:rPr>
          <w:rFonts w:asciiTheme="minorHAnsi" w:hAnsiTheme="minorHAnsi"/>
          <w:b/>
          <w:lang w:eastAsia="es-MX"/>
        </w:rPr>
      </w:pPr>
      <w:r w:rsidRPr="00BB7EAF">
        <w:rPr>
          <w:rFonts w:asciiTheme="minorHAnsi" w:hAnsiTheme="minorHAnsi"/>
          <w:b/>
          <w:lang w:eastAsia="es-MX"/>
        </w:rPr>
        <w:t>V.- Las estadísticas e indicadores de gestión relativos a la procuración de justicia; y</w:t>
      </w: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283FA7" w:rsidRPr="00BB7EAF" w:rsidRDefault="00A726E4" w:rsidP="00BB7EAF">
      <w:pPr>
        <w:autoSpaceDE w:val="0"/>
        <w:autoSpaceDN w:val="0"/>
        <w:adjustRightInd w:val="0"/>
        <w:spacing w:after="0" w:line="240" w:lineRule="auto"/>
        <w:jc w:val="both"/>
        <w:rPr>
          <w:rFonts w:asciiTheme="minorHAnsi" w:hAnsiTheme="minorHAnsi" w:cstheme="minorHAnsi"/>
          <w:szCs w:val="20"/>
        </w:rPr>
      </w:pPr>
      <w:r w:rsidRPr="00BB7EAF">
        <w:rPr>
          <w:rFonts w:asciiTheme="minorHAnsi" w:hAnsiTheme="minorHAnsi" w:cstheme="minorHAnsi"/>
          <w:szCs w:val="20"/>
        </w:rPr>
        <w:t>No se emiten recomendaciones respecto a esta fracción</w:t>
      </w:r>
      <w:r w:rsidR="00C675EA" w:rsidRPr="00BB7EAF">
        <w:rPr>
          <w:rFonts w:asciiTheme="minorHAnsi" w:hAnsiTheme="minorHAnsi" w:cstheme="minorHAnsi"/>
          <w:szCs w:val="20"/>
        </w:rPr>
        <w:t>.</w:t>
      </w:r>
    </w:p>
    <w:p w:rsidR="00C675EA" w:rsidRPr="00BB7EAF" w:rsidRDefault="00C675EA" w:rsidP="00BB7EAF">
      <w:pPr>
        <w:autoSpaceDE w:val="0"/>
        <w:autoSpaceDN w:val="0"/>
        <w:adjustRightInd w:val="0"/>
        <w:spacing w:after="0" w:line="240" w:lineRule="auto"/>
        <w:ind w:left="708"/>
        <w:jc w:val="both"/>
        <w:rPr>
          <w:rFonts w:asciiTheme="minorHAnsi" w:hAnsiTheme="minorHAnsi"/>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b/>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b/>
          <w:lang w:eastAsia="es-MX"/>
        </w:rPr>
      </w:pPr>
      <w:r w:rsidRPr="00BB7EAF">
        <w:rPr>
          <w:rFonts w:asciiTheme="minorHAnsi" w:hAnsiTheme="minorHAnsi"/>
          <w:b/>
          <w:lang w:eastAsia="es-MX"/>
        </w:rPr>
        <w:t>VI.- Las aportaciones estatales a los municipios.</w:t>
      </w: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6F338F" w:rsidRPr="00BB7EAF" w:rsidRDefault="00A726E4" w:rsidP="00BB7EAF">
      <w:pPr>
        <w:autoSpaceDE w:val="0"/>
        <w:autoSpaceDN w:val="0"/>
        <w:adjustRightInd w:val="0"/>
        <w:spacing w:after="0" w:line="240" w:lineRule="auto"/>
        <w:jc w:val="both"/>
        <w:rPr>
          <w:rFonts w:asciiTheme="minorHAnsi" w:hAnsiTheme="minorHAnsi"/>
          <w:lang w:eastAsia="es-MX"/>
        </w:rPr>
      </w:pPr>
      <w:r w:rsidRPr="00BB7EAF">
        <w:rPr>
          <w:rFonts w:asciiTheme="minorHAnsi" w:hAnsiTheme="minorHAnsi" w:cstheme="minorHAnsi"/>
          <w:szCs w:val="20"/>
        </w:rPr>
        <w:t>No se emiten recomendaciones respecto a esta fracción</w:t>
      </w:r>
      <w:r w:rsidRPr="00BB7EAF">
        <w:rPr>
          <w:rFonts w:asciiTheme="minorHAnsi" w:hAnsiTheme="minorHAnsi"/>
          <w:lang w:eastAsia="es-MX"/>
        </w:rPr>
        <w:t xml:space="preserve"> </w:t>
      </w: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6F338F" w:rsidRPr="00BB7EAF" w:rsidRDefault="006F338F" w:rsidP="00BB7EAF">
      <w:pPr>
        <w:autoSpaceDE w:val="0"/>
        <w:autoSpaceDN w:val="0"/>
        <w:adjustRightInd w:val="0"/>
        <w:spacing w:after="0" w:line="240" w:lineRule="auto"/>
        <w:jc w:val="both"/>
        <w:rPr>
          <w:rFonts w:asciiTheme="minorHAnsi" w:hAnsiTheme="minorHAnsi"/>
          <w:lang w:eastAsia="es-MX"/>
        </w:rPr>
      </w:pPr>
    </w:p>
    <w:p w:rsidR="007773D4" w:rsidRPr="00BB7EAF" w:rsidRDefault="007773D4" w:rsidP="00BB7EAF">
      <w:pPr>
        <w:autoSpaceDE w:val="0"/>
        <w:autoSpaceDN w:val="0"/>
        <w:adjustRightInd w:val="0"/>
        <w:spacing w:after="0" w:line="240" w:lineRule="auto"/>
        <w:jc w:val="both"/>
        <w:rPr>
          <w:rFonts w:asciiTheme="minorHAnsi" w:hAnsiTheme="minorHAnsi"/>
          <w:lang w:eastAsia="es-MX"/>
        </w:rPr>
      </w:pPr>
    </w:p>
    <w:p w:rsidR="007773D4" w:rsidRPr="00BB7EAF" w:rsidRDefault="007773D4" w:rsidP="00BB7EAF">
      <w:pPr>
        <w:autoSpaceDE w:val="0"/>
        <w:autoSpaceDN w:val="0"/>
        <w:adjustRightInd w:val="0"/>
        <w:spacing w:after="0" w:line="240" w:lineRule="auto"/>
        <w:jc w:val="both"/>
        <w:rPr>
          <w:rFonts w:asciiTheme="minorHAnsi" w:hAnsiTheme="minorHAnsi"/>
          <w:lang w:eastAsia="es-MX"/>
        </w:rPr>
      </w:pPr>
    </w:p>
    <w:p w:rsidR="006F338F" w:rsidRPr="00BB7EAF" w:rsidRDefault="006F338F" w:rsidP="00BB7EAF">
      <w:pPr>
        <w:jc w:val="both"/>
        <w:rPr>
          <w:rFonts w:asciiTheme="minorHAnsi" w:hAnsiTheme="minorHAnsi"/>
          <w:b/>
          <w:lang w:eastAsia="es-MX"/>
        </w:rPr>
      </w:pPr>
      <w:r w:rsidRPr="00BB7EAF">
        <w:rPr>
          <w:rFonts w:asciiTheme="minorHAnsi" w:hAnsiTheme="minorHAnsi"/>
          <w:b/>
          <w:lang w:eastAsia="es-MX"/>
        </w:rPr>
        <w:lastRenderedPageBreak/>
        <w:t>RECOMENDACIONES GENERALES</w:t>
      </w:r>
    </w:p>
    <w:p w:rsidR="006F338F" w:rsidRPr="00BB7EAF" w:rsidRDefault="00454968" w:rsidP="00BB7EAF">
      <w:pPr>
        <w:jc w:val="both"/>
        <w:rPr>
          <w:rFonts w:asciiTheme="minorHAnsi" w:hAnsiTheme="minorHAnsi"/>
          <w:lang w:eastAsia="es-MX"/>
        </w:rPr>
      </w:pPr>
      <w:r w:rsidRPr="00BB7EAF">
        <w:rPr>
          <w:rFonts w:asciiTheme="minorHAnsi" w:hAnsiTheme="minorHAnsi"/>
          <w:lang w:eastAsia="es-MX"/>
        </w:rPr>
        <w:t xml:space="preserve">Adicionalmente a las recomendaciones específicas por cada una de las fracciones arriba señaladas, este Órgano Garante le hace llegar las siguientes recomendaciones </w:t>
      </w:r>
      <w:r w:rsidR="007F0EF1" w:rsidRPr="00BB7EAF">
        <w:rPr>
          <w:rFonts w:asciiTheme="minorHAnsi" w:hAnsiTheme="minorHAnsi"/>
          <w:lang w:eastAsia="es-MX"/>
        </w:rPr>
        <w:t>generales:</w:t>
      </w:r>
    </w:p>
    <w:p w:rsidR="00F15373" w:rsidRPr="00BB7EAF" w:rsidRDefault="00B3642B" w:rsidP="00BB7EAF">
      <w:pPr>
        <w:pStyle w:val="Prrafodelista"/>
        <w:numPr>
          <w:ilvl w:val="0"/>
          <w:numId w:val="46"/>
        </w:numPr>
        <w:jc w:val="both"/>
        <w:rPr>
          <w:rFonts w:cs="Calibri"/>
          <w:b/>
        </w:rPr>
      </w:pPr>
      <w:r w:rsidRPr="00BB7EAF">
        <w:rPr>
          <w:rFonts w:cstheme="minorHAnsi"/>
        </w:rPr>
        <w:t>Se recomienda publicar en</w:t>
      </w:r>
      <w:r w:rsidR="00132D6F" w:rsidRPr="00BB7EAF">
        <w:rPr>
          <w:rFonts w:cstheme="minorHAnsi"/>
        </w:rPr>
        <w:t xml:space="preserve"> cada</w:t>
      </w:r>
      <w:r w:rsidR="00B35124" w:rsidRPr="00BB7EAF">
        <w:rPr>
          <w:rFonts w:cstheme="minorHAnsi"/>
        </w:rPr>
        <w:t xml:space="preserve"> </w:t>
      </w:r>
      <w:r w:rsidR="00132D6F" w:rsidRPr="00BB7EAF">
        <w:rPr>
          <w:rFonts w:cstheme="minorHAnsi"/>
        </w:rPr>
        <w:t xml:space="preserve">una de las fracciones aplicables </w:t>
      </w:r>
      <w:r w:rsidRPr="00BB7EAF">
        <w:rPr>
          <w:rFonts w:cstheme="minorHAnsi"/>
        </w:rPr>
        <w:t>la fecha de actualización</w:t>
      </w:r>
      <w:r w:rsidR="00132D6F" w:rsidRPr="00BB7EAF">
        <w:rPr>
          <w:rFonts w:cstheme="minorHAnsi"/>
        </w:rPr>
        <w:t xml:space="preserve"> de la </w:t>
      </w:r>
      <w:r w:rsidR="00EA0CF3" w:rsidRPr="00BB7EAF">
        <w:rPr>
          <w:rFonts w:cstheme="minorHAnsi"/>
        </w:rPr>
        <w:t>información,</w:t>
      </w:r>
      <w:r w:rsidRPr="00BB7EAF">
        <w:rPr>
          <w:rFonts w:cstheme="minorHAnsi"/>
        </w:rPr>
        <w:t xml:space="preserve"> entendida como el día en el que se renueva, modifica o sufre algún cambio la información relativa a algún tema, documento o política generada por los Sujetos Obligados, de acuerdo con sus funciones</w:t>
      </w:r>
      <w:r w:rsidR="00132D6F" w:rsidRPr="00BB7EAF">
        <w:rPr>
          <w:rFonts w:cstheme="minorHAnsi"/>
        </w:rPr>
        <w:t>.</w:t>
      </w:r>
      <w:r w:rsidR="00BE3862" w:rsidRPr="00BB7EAF">
        <w:rPr>
          <w:rFonts w:cs="Calibri"/>
          <w:b/>
          <w:szCs w:val="20"/>
        </w:rPr>
        <w:t xml:space="preserve"> NO ATENDIDA</w:t>
      </w:r>
    </w:p>
    <w:p w:rsidR="00132D6F" w:rsidRPr="00BB7EAF" w:rsidRDefault="00132D6F" w:rsidP="00BB7EAF">
      <w:pPr>
        <w:pStyle w:val="Prrafodelista"/>
        <w:numPr>
          <w:ilvl w:val="0"/>
          <w:numId w:val="46"/>
        </w:numPr>
        <w:autoSpaceDE w:val="0"/>
        <w:autoSpaceDN w:val="0"/>
        <w:adjustRightInd w:val="0"/>
        <w:spacing w:after="0" w:line="240" w:lineRule="auto"/>
        <w:jc w:val="both"/>
        <w:rPr>
          <w:rFonts w:cstheme="minorHAnsi"/>
          <w:iCs/>
        </w:rPr>
      </w:pPr>
      <w:r w:rsidRPr="00BB7EAF">
        <w:rPr>
          <w:rFonts w:cstheme="minorHAnsi"/>
          <w:iCs/>
        </w:rPr>
        <w:t xml:space="preserve">Se recomienda  actualizar la información de acuerdo a la periodicidad que señala la Ley </w:t>
      </w:r>
      <w:r w:rsidR="00A676FD" w:rsidRPr="00BB7EAF">
        <w:rPr>
          <w:rFonts w:cstheme="minorHAnsi"/>
          <w:iCs/>
        </w:rPr>
        <w:t>d</w:t>
      </w:r>
      <w:r w:rsidRPr="00BB7EAF">
        <w:rPr>
          <w:rFonts w:cstheme="minorHAnsi"/>
          <w:iCs/>
        </w:rPr>
        <w:t xml:space="preserve">e Transparencia y Acceso a la </w:t>
      </w:r>
      <w:r w:rsidR="00B35124" w:rsidRPr="00BB7EAF">
        <w:rPr>
          <w:rFonts w:cstheme="minorHAnsi"/>
          <w:iCs/>
        </w:rPr>
        <w:t>Información</w:t>
      </w:r>
      <w:r w:rsidRPr="00BB7EAF">
        <w:rPr>
          <w:rFonts w:cstheme="minorHAnsi"/>
          <w:iCs/>
        </w:rPr>
        <w:t xml:space="preserve"> </w:t>
      </w:r>
      <w:r w:rsidR="00EB0A65" w:rsidRPr="00BB7EAF">
        <w:rPr>
          <w:rFonts w:cstheme="minorHAnsi"/>
          <w:iCs/>
        </w:rPr>
        <w:t>Pública</w:t>
      </w:r>
      <w:r w:rsidRPr="00BB7EAF">
        <w:rPr>
          <w:rFonts w:cstheme="minorHAnsi"/>
          <w:iCs/>
        </w:rPr>
        <w:t xml:space="preserve"> para el Estado de Baja California en su artículo 12 y en sus reglamentos Interiores de transparencia en relación  a los ar</w:t>
      </w:r>
      <w:r w:rsidR="006F4DD8" w:rsidRPr="00BB7EAF">
        <w:rPr>
          <w:rFonts w:cstheme="minorHAnsi"/>
          <w:iCs/>
        </w:rPr>
        <w:t>tículos específicos.</w:t>
      </w:r>
      <w:r w:rsidR="00BE3862" w:rsidRPr="00BB7EAF">
        <w:rPr>
          <w:rFonts w:cs="Calibri"/>
          <w:b/>
          <w:szCs w:val="20"/>
        </w:rPr>
        <w:t xml:space="preserve"> NO ATENDIDA</w:t>
      </w:r>
    </w:p>
    <w:p w:rsidR="00661941" w:rsidRPr="00BB7EAF" w:rsidRDefault="00661941" w:rsidP="00BB7EAF">
      <w:pPr>
        <w:pStyle w:val="Prrafodelista"/>
        <w:numPr>
          <w:ilvl w:val="0"/>
          <w:numId w:val="46"/>
        </w:numPr>
        <w:autoSpaceDE w:val="0"/>
        <w:autoSpaceDN w:val="0"/>
        <w:adjustRightInd w:val="0"/>
        <w:spacing w:after="0" w:line="240" w:lineRule="auto"/>
        <w:jc w:val="both"/>
        <w:rPr>
          <w:rFonts w:cstheme="minorHAnsi"/>
          <w:iCs/>
        </w:rPr>
      </w:pPr>
      <w:r w:rsidRPr="00BB7EAF">
        <w:rPr>
          <w:rFonts w:cstheme="minorHAnsi"/>
          <w:iCs/>
        </w:rPr>
        <w:t>Se recomienda publicar el texto completo de las fracciones aplicables a la dependencia y definidas en la propia Ley de Transparencia y  Acceso  a  la  Información  Pública  para  el  Estado  de  Baja  California,  de tal forma que al realizar su consulta se establezca con claridad que se está dando cumplimiento pleno a las mismas.</w:t>
      </w:r>
      <w:r w:rsidR="00BE3862" w:rsidRPr="00BB7EAF">
        <w:rPr>
          <w:rFonts w:cs="Calibri"/>
          <w:b/>
          <w:szCs w:val="20"/>
        </w:rPr>
        <w:t xml:space="preserve"> NO ATENDIDA</w:t>
      </w:r>
    </w:p>
    <w:p w:rsidR="00132D6F" w:rsidRPr="00BB7EAF" w:rsidRDefault="00132D6F" w:rsidP="00BB7EAF">
      <w:pPr>
        <w:pStyle w:val="Prrafodelista"/>
        <w:jc w:val="both"/>
        <w:rPr>
          <w:rFonts w:cs="Calibri"/>
          <w:b/>
        </w:rPr>
      </w:pPr>
    </w:p>
    <w:p w:rsidR="00BE3862" w:rsidRPr="00BB7EAF" w:rsidRDefault="00BE3862" w:rsidP="00BB7EAF">
      <w:pPr>
        <w:jc w:val="center"/>
        <w:rPr>
          <w:rFonts w:cs="Calibri"/>
          <w:b/>
        </w:rPr>
      </w:pPr>
    </w:p>
    <w:p w:rsidR="00BE3862" w:rsidRPr="00BB7EAF" w:rsidRDefault="00BE3862" w:rsidP="00BB7EAF">
      <w:pPr>
        <w:jc w:val="center"/>
        <w:rPr>
          <w:rFonts w:cs="Calibri"/>
          <w:b/>
        </w:rPr>
      </w:pPr>
    </w:p>
    <w:p w:rsidR="00D52627" w:rsidRPr="00BB7EAF" w:rsidRDefault="00F15373" w:rsidP="00BB7EAF">
      <w:pPr>
        <w:jc w:val="center"/>
        <w:rPr>
          <w:rFonts w:cs="Calibri"/>
          <w:b/>
        </w:rPr>
      </w:pPr>
      <w:r w:rsidRPr="00BB7EAF">
        <w:rPr>
          <w:rFonts w:cs="Calibri"/>
          <w:b/>
        </w:rPr>
        <w:t xml:space="preserve">TOTAL DE RECOMENDACIONES EMITIDAS: </w:t>
      </w:r>
      <w:r w:rsidR="00337BCB" w:rsidRPr="00BB7EAF">
        <w:rPr>
          <w:rFonts w:cs="Calibri"/>
          <w:b/>
        </w:rPr>
        <w:t>3</w:t>
      </w:r>
      <w:r w:rsidR="00F74954" w:rsidRPr="00BB7EAF">
        <w:rPr>
          <w:rFonts w:cs="Calibri"/>
          <w:b/>
        </w:rPr>
        <w:t>3</w:t>
      </w:r>
    </w:p>
    <w:p w:rsidR="00BE3862" w:rsidRPr="00BB7EAF" w:rsidRDefault="00BE3862" w:rsidP="00BB7EAF">
      <w:pPr>
        <w:jc w:val="center"/>
        <w:rPr>
          <w:rFonts w:cs="Calibri"/>
          <w:b/>
        </w:rPr>
      </w:pPr>
      <w:r w:rsidRPr="00BB7EAF">
        <w:rPr>
          <w:rFonts w:cs="Calibri"/>
          <w:b/>
        </w:rPr>
        <w:t xml:space="preserve">TOTAL DE RECOMENDACIONES ATENDIDAS: </w:t>
      </w:r>
      <w:r w:rsidR="006A71BF" w:rsidRPr="00BB7EAF">
        <w:rPr>
          <w:rFonts w:cs="Calibri"/>
          <w:b/>
        </w:rPr>
        <w:t>5</w:t>
      </w:r>
    </w:p>
    <w:p w:rsidR="00BE3862" w:rsidRPr="00BB7EAF" w:rsidRDefault="00BE3862" w:rsidP="00BB7EAF">
      <w:pPr>
        <w:jc w:val="center"/>
      </w:pPr>
      <w:r w:rsidRPr="00BB7EAF">
        <w:rPr>
          <w:rFonts w:cs="Calibri"/>
          <w:b/>
        </w:rPr>
        <w:t>TOTAL DE RECOMENDACIONES NO ATENDIDAS:</w:t>
      </w:r>
      <w:r w:rsidR="00931858" w:rsidRPr="00BB7EAF">
        <w:rPr>
          <w:rFonts w:cs="Calibri"/>
          <w:b/>
        </w:rPr>
        <w:t xml:space="preserve"> </w:t>
      </w:r>
      <w:r w:rsidR="006A71BF" w:rsidRPr="00BB7EAF">
        <w:rPr>
          <w:rFonts w:cs="Calibri"/>
          <w:b/>
        </w:rPr>
        <w:t>28</w:t>
      </w:r>
    </w:p>
    <w:sectPr w:rsidR="00BE3862" w:rsidRPr="00BB7EAF" w:rsidSect="00D83651">
      <w:headerReference w:type="default" r:id="rId7"/>
      <w:footerReference w:type="default" r:id="rId8"/>
      <w:pgSz w:w="12242" w:h="15842" w:code="1"/>
      <w:pgMar w:top="816" w:right="1469" w:bottom="1418" w:left="1560" w:header="425"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CAC" w:rsidRDefault="00637CAC" w:rsidP="000F1546">
      <w:pPr>
        <w:spacing w:after="0" w:line="240" w:lineRule="auto"/>
      </w:pPr>
      <w:r>
        <w:separator/>
      </w:r>
    </w:p>
  </w:endnote>
  <w:endnote w:type="continuationSeparator" w:id="0">
    <w:p w:rsidR="00637CAC" w:rsidRDefault="00637CAC" w:rsidP="000F1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95" w:type="pct"/>
      <w:tblBorders>
        <w:top w:val="single" w:sz="18" w:space="0" w:color="808080"/>
        <w:insideV w:val="single" w:sz="18" w:space="0" w:color="808080"/>
      </w:tblBorders>
      <w:tblLook w:val="00A0"/>
    </w:tblPr>
    <w:tblGrid>
      <w:gridCol w:w="9180"/>
      <w:gridCol w:w="994"/>
    </w:tblGrid>
    <w:tr w:rsidR="002B6E0A" w:rsidRPr="00FA4360" w:rsidTr="00FC79FF">
      <w:tc>
        <w:tcPr>
          <w:tcW w:w="9180" w:type="dxa"/>
          <w:tcBorders>
            <w:top w:val="single" w:sz="18" w:space="0" w:color="808080"/>
          </w:tcBorders>
        </w:tcPr>
        <w:p w:rsidR="002B6E0A" w:rsidRPr="001859E8" w:rsidRDefault="00F15373" w:rsidP="00E773C8">
          <w:pPr>
            <w:pStyle w:val="Sinespaciado"/>
            <w:jc w:val="right"/>
            <w:rPr>
              <w:rFonts w:ascii="Cambria" w:hAnsi="Cambria"/>
              <w:b/>
              <w:sz w:val="16"/>
            </w:rPr>
          </w:pPr>
          <w:r w:rsidRPr="001859E8">
            <w:rPr>
              <w:rFonts w:ascii="Cambria" w:hAnsi="Cambria"/>
              <w:b/>
              <w:sz w:val="16"/>
            </w:rPr>
            <w:t xml:space="preserve">Instituto de Transparencia y Acceso a </w:t>
          </w:r>
          <w:smartTag w:uri="urn:schemas-microsoft-com:office:smarttags" w:element="PersonName">
            <w:smartTagPr>
              <w:attr w:name="ProductID" w:val="LA INFORMACIￓN PￚBLICA"/>
            </w:smartTagPr>
            <w:r w:rsidRPr="001859E8">
              <w:rPr>
                <w:rFonts w:ascii="Cambria" w:hAnsi="Cambria"/>
                <w:b/>
                <w:sz w:val="16"/>
              </w:rPr>
              <w:t>la Información Pública</w:t>
            </w:r>
          </w:smartTag>
          <w:r w:rsidRPr="001859E8">
            <w:rPr>
              <w:rFonts w:ascii="Cambria" w:hAnsi="Cambria"/>
              <w:b/>
              <w:sz w:val="16"/>
            </w:rPr>
            <w:t xml:space="preserve"> del Estado de Baja California  </w:t>
          </w:r>
        </w:p>
        <w:p w:rsidR="002B6E0A" w:rsidRPr="001859E8" w:rsidRDefault="00F15373" w:rsidP="00E773C8">
          <w:pPr>
            <w:pStyle w:val="Sinespaciado"/>
            <w:jc w:val="right"/>
            <w:rPr>
              <w:rFonts w:ascii="Cambria" w:hAnsi="Cambria"/>
              <w:b/>
              <w:sz w:val="16"/>
            </w:rPr>
          </w:pPr>
          <w:r w:rsidRPr="001859E8">
            <w:rPr>
              <w:rFonts w:ascii="Cambria" w:hAnsi="Cambria"/>
              <w:b/>
              <w:sz w:val="16"/>
            </w:rPr>
            <w:t>Coordinación de Evaluación y Seguimiento</w:t>
          </w:r>
        </w:p>
        <w:p w:rsidR="002B6E0A" w:rsidRPr="001859E8" w:rsidRDefault="00F15373" w:rsidP="00E773C8">
          <w:pPr>
            <w:pStyle w:val="Sinespaciado"/>
            <w:jc w:val="right"/>
            <w:rPr>
              <w:rFonts w:ascii="Cambria" w:hAnsi="Cambria"/>
              <w:sz w:val="18"/>
            </w:rPr>
          </w:pPr>
          <w:r w:rsidRPr="001859E8">
            <w:rPr>
              <w:rFonts w:ascii="Cambria" w:hAnsi="Cambria"/>
              <w:b/>
              <w:sz w:val="16"/>
            </w:rPr>
            <w:t>Fecha de la revisión</w:t>
          </w:r>
          <w:r w:rsidRPr="001859E8">
            <w:rPr>
              <w:rFonts w:ascii="Cambria" w:hAnsi="Cambria"/>
              <w:sz w:val="16"/>
            </w:rPr>
            <w:t xml:space="preserve">: </w:t>
          </w:r>
          <w:r w:rsidR="00385F29">
            <w:rPr>
              <w:rFonts w:ascii="Cambria" w:hAnsi="Cambria"/>
              <w:sz w:val="16"/>
            </w:rPr>
            <w:t xml:space="preserve"> </w:t>
          </w:r>
          <w:r w:rsidR="002F19A5">
            <w:rPr>
              <w:rFonts w:ascii="Cambria" w:hAnsi="Cambria"/>
              <w:sz w:val="16"/>
            </w:rPr>
            <w:t>2</w:t>
          </w:r>
          <w:r w:rsidR="00BE3862">
            <w:rPr>
              <w:rFonts w:ascii="Cambria" w:hAnsi="Cambria"/>
              <w:sz w:val="16"/>
            </w:rPr>
            <w:t xml:space="preserve">1 de </w:t>
          </w:r>
          <w:r w:rsidR="002F19A5">
            <w:rPr>
              <w:rFonts w:ascii="Cambria" w:hAnsi="Cambria"/>
              <w:sz w:val="16"/>
            </w:rPr>
            <w:t>Agosto</w:t>
          </w:r>
          <w:r w:rsidR="00385F29">
            <w:rPr>
              <w:rFonts w:ascii="Cambria" w:hAnsi="Cambria"/>
              <w:sz w:val="16"/>
            </w:rPr>
            <w:t xml:space="preserve"> de 2014</w:t>
          </w:r>
        </w:p>
        <w:p w:rsidR="002B6E0A" w:rsidRPr="001859E8" w:rsidRDefault="00637CAC" w:rsidP="00A741B6">
          <w:pPr>
            <w:pStyle w:val="Sinespaciado"/>
            <w:tabs>
              <w:tab w:val="left" w:pos="1741"/>
            </w:tabs>
            <w:jc w:val="right"/>
            <w:rPr>
              <w:rFonts w:ascii="Cambria" w:hAnsi="Cambria"/>
              <w:sz w:val="20"/>
            </w:rPr>
          </w:pPr>
        </w:p>
        <w:p w:rsidR="002B6E0A" w:rsidRPr="001859E8" w:rsidRDefault="00F15373" w:rsidP="00F0499A">
          <w:pPr>
            <w:pStyle w:val="Sinespaciado"/>
            <w:jc w:val="right"/>
            <w:rPr>
              <w:rFonts w:ascii="Cambria" w:hAnsi="Cambria"/>
              <w:sz w:val="20"/>
            </w:rPr>
          </w:pPr>
          <w:r w:rsidRPr="001859E8">
            <w:rPr>
              <w:rFonts w:ascii="Cambria" w:hAnsi="Cambria"/>
              <w:sz w:val="20"/>
            </w:rPr>
            <w:t xml:space="preserve"> </w:t>
          </w:r>
        </w:p>
      </w:tc>
      <w:tc>
        <w:tcPr>
          <w:tcW w:w="994" w:type="dxa"/>
          <w:tcBorders>
            <w:top w:val="single" w:sz="18" w:space="0" w:color="808080"/>
          </w:tcBorders>
        </w:tcPr>
        <w:p w:rsidR="002B6E0A" w:rsidRPr="001859E8" w:rsidRDefault="00637CAC" w:rsidP="001829AA">
          <w:pPr>
            <w:pStyle w:val="Piedepgina"/>
            <w:rPr>
              <w:rFonts w:ascii="Cambria" w:hAnsi="Cambria"/>
              <w:b/>
              <w:sz w:val="18"/>
              <w:szCs w:val="18"/>
            </w:rPr>
          </w:pPr>
        </w:p>
        <w:p w:rsidR="002B6E0A" w:rsidRPr="001859E8" w:rsidRDefault="008C6A12" w:rsidP="000B4BE3">
          <w:pPr>
            <w:pStyle w:val="Piedepgina"/>
            <w:rPr>
              <w:rFonts w:ascii="Cambria" w:hAnsi="Cambria"/>
              <w:b/>
              <w:sz w:val="18"/>
              <w:szCs w:val="18"/>
            </w:rPr>
          </w:pPr>
          <w:r w:rsidRPr="001859E8">
            <w:rPr>
              <w:rFonts w:ascii="Cambria" w:hAnsi="Cambria"/>
              <w:b/>
              <w:sz w:val="18"/>
              <w:szCs w:val="18"/>
            </w:rPr>
            <w:fldChar w:fldCharType="begin"/>
          </w:r>
          <w:r w:rsidR="00F15373" w:rsidRPr="001859E8">
            <w:rPr>
              <w:rFonts w:ascii="Cambria" w:hAnsi="Cambria"/>
              <w:b/>
              <w:sz w:val="18"/>
              <w:szCs w:val="18"/>
            </w:rPr>
            <w:instrText xml:space="preserve"> PAGE   \* MERGEFORMAT </w:instrText>
          </w:r>
          <w:r w:rsidRPr="001859E8">
            <w:rPr>
              <w:rFonts w:ascii="Cambria" w:hAnsi="Cambria"/>
              <w:b/>
              <w:sz w:val="18"/>
              <w:szCs w:val="18"/>
            </w:rPr>
            <w:fldChar w:fldCharType="separate"/>
          </w:r>
          <w:r w:rsidR="00BB7EAF">
            <w:rPr>
              <w:rFonts w:ascii="Cambria" w:hAnsi="Cambria"/>
              <w:b/>
              <w:noProof/>
              <w:sz w:val="18"/>
              <w:szCs w:val="18"/>
            </w:rPr>
            <w:t>1</w:t>
          </w:r>
          <w:r w:rsidRPr="001859E8">
            <w:rPr>
              <w:rFonts w:ascii="Cambria" w:hAnsi="Cambria"/>
              <w:b/>
              <w:sz w:val="18"/>
              <w:szCs w:val="18"/>
            </w:rPr>
            <w:fldChar w:fldCharType="end"/>
          </w:r>
          <w:r w:rsidR="00F15373" w:rsidRPr="001859E8">
            <w:rPr>
              <w:rFonts w:ascii="Cambria" w:hAnsi="Cambria"/>
              <w:b/>
              <w:noProof/>
              <w:sz w:val="18"/>
              <w:szCs w:val="18"/>
            </w:rPr>
            <w:t xml:space="preserve"> de 8</w:t>
          </w:r>
        </w:p>
      </w:tc>
    </w:tr>
  </w:tbl>
  <w:p w:rsidR="002B6E0A" w:rsidRPr="00A64416" w:rsidRDefault="00637CAC" w:rsidP="00A644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CAC" w:rsidRDefault="00637CAC" w:rsidP="000F1546">
      <w:pPr>
        <w:spacing w:after="0" w:line="240" w:lineRule="auto"/>
      </w:pPr>
      <w:r>
        <w:separator/>
      </w:r>
    </w:p>
  </w:footnote>
  <w:footnote w:type="continuationSeparator" w:id="0">
    <w:p w:rsidR="00637CAC" w:rsidRDefault="00637CAC" w:rsidP="000F1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175" w:type="pct"/>
      <w:tblInd w:w="-1019" w:type="dxa"/>
      <w:tblBorders>
        <w:bottom w:val="single" w:sz="18" w:space="0" w:color="808080"/>
        <w:insideV w:val="single" w:sz="18" w:space="0" w:color="808080"/>
      </w:tblBorders>
      <w:tblCellMar>
        <w:top w:w="72" w:type="dxa"/>
        <w:left w:w="115" w:type="dxa"/>
        <w:bottom w:w="72" w:type="dxa"/>
        <w:right w:w="115" w:type="dxa"/>
      </w:tblCellMar>
      <w:tblLook w:val="00A0"/>
    </w:tblPr>
    <w:tblGrid>
      <w:gridCol w:w="8906"/>
      <w:gridCol w:w="2756"/>
    </w:tblGrid>
    <w:tr w:rsidR="002B6E0A" w:rsidRPr="00625444" w:rsidTr="00A64416">
      <w:trPr>
        <w:trHeight w:val="1492"/>
      </w:trPr>
      <w:tc>
        <w:tcPr>
          <w:tcW w:w="8552" w:type="dxa"/>
          <w:tcBorders>
            <w:bottom w:val="single" w:sz="18" w:space="0" w:color="808080"/>
          </w:tcBorders>
        </w:tcPr>
        <w:p w:rsidR="002B6E0A" w:rsidRDefault="00F15373" w:rsidP="00A64416">
          <w:pPr>
            <w:pStyle w:val="Encabezado"/>
            <w:rPr>
              <w:rFonts w:ascii="Cambria" w:hAnsi="Cambria"/>
              <w:noProof/>
              <w:sz w:val="36"/>
              <w:szCs w:val="36"/>
              <w:lang w:val="es-CL" w:eastAsia="es-CL"/>
            </w:rPr>
          </w:pPr>
          <w:r>
            <w:rPr>
              <w:rFonts w:ascii="Cambria" w:hAnsi="Cambria"/>
              <w:noProof/>
              <w:sz w:val="36"/>
              <w:szCs w:val="36"/>
              <w:lang w:val="es-CL" w:eastAsia="es-CL"/>
            </w:rPr>
            <w:t xml:space="preserve">                                               </w:t>
          </w:r>
        </w:p>
        <w:p w:rsidR="002B6E0A" w:rsidRDefault="00F15373" w:rsidP="00A64416">
          <w:pPr>
            <w:pStyle w:val="Encabezado"/>
            <w:rPr>
              <w:rFonts w:ascii="Cambria" w:hAnsi="Cambria"/>
              <w:sz w:val="36"/>
              <w:szCs w:val="36"/>
            </w:rPr>
          </w:pPr>
          <w:r>
            <w:rPr>
              <w:rFonts w:ascii="Cambria" w:hAnsi="Cambria"/>
              <w:noProof/>
              <w:sz w:val="36"/>
              <w:szCs w:val="36"/>
              <w:lang w:val="es-CL" w:eastAsia="es-CL"/>
            </w:rPr>
            <w:t xml:space="preserve">                                                          </w:t>
          </w:r>
          <w:r>
            <w:rPr>
              <w:rFonts w:ascii="Cambria" w:hAnsi="Cambria"/>
              <w:noProof/>
              <w:sz w:val="36"/>
              <w:szCs w:val="36"/>
              <w:lang w:eastAsia="es-MX"/>
            </w:rPr>
            <w:drawing>
              <wp:inline distT="0" distB="0" distL="0" distR="0">
                <wp:extent cx="2276475" cy="723900"/>
                <wp:effectExtent l="19050" t="0" r="9525" b="0"/>
                <wp:docPr id="1" name="Imagen 2" descr="LOGO_ITAIP_INSTITUCIO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ITAIP_INSTITUCIONAL2.png"/>
                        <pic:cNvPicPr>
                          <a:picLocks noChangeAspect="1" noChangeArrowheads="1"/>
                        </pic:cNvPicPr>
                      </pic:nvPicPr>
                      <pic:blipFill>
                        <a:blip r:embed="rId1"/>
                        <a:srcRect/>
                        <a:stretch>
                          <a:fillRect/>
                        </a:stretch>
                      </pic:blipFill>
                      <pic:spPr bwMode="auto">
                        <a:xfrm>
                          <a:off x="0" y="0"/>
                          <a:ext cx="2276475" cy="723900"/>
                        </a:xfrm>
                        <a:prstGeom prst="rect">
                          <a:avLst/>
                        </a:prstGeom>
                        <a:noFill/>
                        <a:ln w="9525">
                          <a:noFill/>
                          <a:miter lim="800000"/>
                          <a:headEnd/>
                          <a:tailEnd/>
                        </a:ln>
                      </pic:spPr>
                    </pic:pic>
                  </a:graphicData>
                </a:graphic>
              </wp:inline>
            </w:drawing>
          </w:r>
        </w:p>
      </w:tc>
      <w:tc>
        <w:tcPr>
          <w:tcW w:w="2647" w:type="dxa"/>
          <w:tcBorders>
            <w:bottom w:val="single" w:sz="18" w:space="0" w:color="808080"/>
          </w:tcBorders>
        </w:tcPr>
        <w:p w:rsidR="002B6E0A" w:rsidRDefault="00F15373" w:rsidP="00A64416">
          <w:pPr>
            <w:pStyle w:val="Encabezado"/>
            <w:rPr>
              <w:rFonts w:ascii="Cambria" w:hAnsi="Cambria"/>
              <w:b/>
              <w:bCs/>
              <w:color w:val="4F81BD"/>
              <w:sz w:val="36"/>
              <w:szCs w:val="36"/>
            </w:rPr>
          </w:pPr>
          <w:r>
            <w:rPr>
              <w:rFonts w:ascii="Cambria" w:hAnsi="Cambria"/>
              <w:b/>
              <w:bCs/>
              <w:color w:val="4F81BD"/>
              <w:sz w:val="36"/>
              <w:szCs w:val="36"/>
            </w:rPr>
            <w:t xml:space="preserve">     </w:t>
          </w:r>
          <w:r>
            <w:rPr>
              <w:rFonts w:ascii="Cambria" w:hAnsi="Cambria"/>
              <w:b/>
              <w:noProof/>
              <w:color w:val="4F81BD"/>
              <w:sz w:val="36"/>
              <w:szCs w:val="36"/>
              <w:lang w:eastAsia="es-MX"/>
            </w:rPr>
            <w:drawing>
              <wp:inline distT="0" distB="0" distL="0" distR="0">
                <wp:extent cx="593471" cy="854834"/>
                <wp:effectExtent l="133350" t="19050" r="54229" b="40516"/>
                <wp:docPr id="2" name="Imagen 71" descr="http://yoreme.files.wordpress.com/2010/10/1escud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71" descr="http://yoreme.files.wordpress.com/2010/10/1escudo.png"/>
                        <pic:cNvPicPr>
                          <a:picLocks noChangeAspect="1" noChangeArrowheads="1"/>
                        </pic:cNvPicPr>
                      </pic:nvPicPr>
                      <pic:blipFill>
                        <a:blip r:embed="rId2">
                          <a:duotone>
                            <a:schemeClr val="accent4">
                              <a:shade val="45000"/>
                              <a:satMod val="135000"/>
                            </a:schemeClr>
                            <a:prstClr val="white"/>
                          </a:duotone>
                        </a:blip>
                        <a:srcRect/>
                        <a:stretch>
                          <a:fillRect/>
                        </a:stretch>
                      </pic:blipFill>
                      <pic:spPr bwMode="auto">
                        <a:xfrm>
                          <a:off x="0" y="0"/>
                          <a:ext cx="593471" cy="85483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Cambria" w:hAnsi="Cambria"/>
              <w:b/>
              <w:bCs/>
              <w:color w:val="4F81BD"/>
              <w:sz w:val="36"/>
              <w:szCs w:val="36"/>
            </w:rPr>
            <w:t xml:space="preserve">  </w:t>
          </w:r>
        </w:p>
      </w:tc>
    </w:tr>
  </w:tbl>
  <w:p w:rsidR="002B6E0A" w:rsidRDefault="00F15373">
    <w:pPr>
      <w:pStyle w:val="Encabezado"/>
    </w:pPr>
    <w:r>
      <w:rPr>
        <w:noProof/>
        <w:lang w:eastAsia="es-MX"/>
      </w:rPr>
      <w:drawing>
        <wp:anchor distT="0" distB="0" distL="114300" distR="114300" simplePos="0" relativeHeight="251659264" behindDoc="1" locked="0" layoutInCell="1" allowOverlap="1">
          <wp:simplePos x="0" y="0"/>
          <wp:positionH relativeFrom="column">
            <wp:posOffset>1037590</wp:posOffset>
          </wp:positionH>
          <wp:positionV relativeFrom="paragraph">
            <wp:posOffset>3206115</wp:posOffset>
          </wp:positionV>
          <wp:extent cx="3653155" cy="3657600"/>
          <wp:effectExtent l="19050" t="0" r="4445" b="0"/>
          <wp:wrapNone/>
          <wp:docPr id="3" name="1 Imagen" descr="LOGO_ITAIP_LUP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_ITAIP_LUPA 3.png"/>
                  <pic:cNvPicPr>
                    <a:picLocks noChangeAspect="1" noChangeArrowheads="1"/>
                  </pic:cNvPicPr>
                </pic:nvPicPr>
                <pic:blipFill>
                  <a:blip r:embed="rId3">
                    <a:lum bright="70000" contrast="-70000"/>
                  </a:blip>
                  <a:srcRect/>
                  <a:stretch>
                    <a:fillRect/>
                  </a:stretch>
                </pic:blipFill>
                <pic:spPr bwMode="auto">
                  <a:xfrm>
                    <a:off x="0" y="0"/>
                    <a:ext cx="3653155" cy="3657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C56"/>
    <w:multiLevelType w:val="hybridMultilevel"/>
    <w:tmpl w:val="3D24EC1A"/>
    <w:lvl w:ilvl="0" w:tplc="3CF843CE">
      <w:start w:val="1"/>
      <w:numFmt w:val="decimal"/>
      <w:lvlText w:val="%1)"/>
      <w:lvlJc w:val="left"/>
      <w:pPr>
        <w:ind w:left="1068" w:hanging="360"/>
      </w:pPr>
      <w:rPr>
        <w:rFonts w:cs="Times New Roman"/>
        <w:b/>
        <w:i w:val="0"/>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
    <w:nsid w:val="08705CAB"/>
    <w:multiLevelType w:val="hybridMultilevel"/>
    <w:tmpl w:val="B7E0ADE2"/>
    <w:lvl w:ilvl="0" w:tplc="04090011">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A97026"/>
    <w:multiLevelType w:val="hybridMultilevel"/>
    <w:tmpl w:val="4E2A2842"/>
    <w:lvl w:ilvl="0" w:tplc="8DDCA026">
      <w:start w:val="1"/>
      <w:numFmt w:val="decimal"/>
      <w:lvlText w:val="%1)"/>
      <w:lvlJc w:val="left"/>
      <w:pPr>
        <w:ind w:left="720" w:hanging="360"/>
      </w:pPr>
      <w:rPr>
        <w:rFonts w:cstheme="minorHAns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8F642F"/>
    <w:multiLevelType w:val="hybridMultilevel"/>
    <w:tmpl w:val="9C38ACAE"/>
    <w:lvl w:ilvl="0" w:tplc="408A64C2">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5202835"/>
    <w:multiLevelType w:val="hybridMultilevel"/>
    <w:tmpl w:val="A52C0B38"/>
    <w:lvl w:ilvl="0" w:tplc="04090011">
      <w:start w:val="1"/>
      <w:numFmt w:val="decimal"/>
      <w:lvlText w:val="%1)"/>
      <w:lvlJc w:val="left"/>
      <w:pPr>
        <w:ind w:left="1070" w:hanging="360"/>
      </w:pPr>
      <w:rPr>
        <w:rFonts w:cs="Times New Roman"/>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
    <w:nsid w:val="157F6BB9"/>
    <w:multiLevelType w:val="hybridMultilevel"/>
    <w:tmpl w:val="5FEEAF82"/>
    <w:lvl w:ilvl="0" w:tplc="8D0EB466">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22" w:hanging="360"/>
      </w:pPr>
      <w:rPr>
        <w:rFonts w:cs="Times New Roman"/>
      </w:rPr>
    </w:lvl>
    <w:lvl w:ilvl="2" w:tplc="080A001B" w:tentative="1">
      <w:start w:val="1"/>
      <w:numFmt w:val="lowerRoman"/>
      <w:lvlText w:val="%3."/>
      <w:lvlJc w:val="right"/>
      <w:pPr>
        <w:ind w:left="2442" w:hanging="180"/>
      </w:pPr>
      <w:rPr>
        <w:rFonts w:cs="Times New Roman"/>
      </w:rPr>
    </w:lvl>
    <w:lvl w:ilvl="3" w:tplc="080A000F" w:tentative="1">
      <w:start w:val="1"/>
      <w:numFmt w:val="decimal"/>
      <w:lvlText w:val="%4."/>
      <w:lvlJc w:val="left"/>
      <w:pPr>
        <w:ind w:left="3162" w:hanging="360"/>
      </w:pPr>
      <w:rPr>
        <w:rFonts w:cs="Times New Roman"/>
      </w:rPr>
    </w:lvl>
    <w:lvl w:ilvl="4" w:tplc="080A0019" w:tentative="1">
      <w:start w:val="1"/>
      <w:numFmt w:val="lowerLetter"/>
      <w:lvlText w:val="%5."/>
      <w:lvlJc w:val="left"/>
      <w:pPr>
        <w:ind w:left="3882" w:hanging="360"/>
      </w:pPr>
      <w:rPr>
        <w:rFonts w:cs="Times New Roman"/>
      </w:rPr>
    </w:lvl>
    <w:lvl w:ilvl="5" w:tplc="080A001B" w:tentative="1">
      <w:start w:val="1"/>
      <w:numFmt w:val="lowerRoman"/>
      <w:lvlText w:val="%6."/>
      <w:lvlJc w:val="right"/>
      <w:pPr>
        <w:ind w:left="4602" w:hanging="180"/>
      </w:pPr>
      <w:rPr>
        <w:rFonts w:cs="Times New Roman"/>
      </w:rPr>
    </w:lvl>
    <w:lvl w:ilvl="6" w:tplc="080A000F" w:tentative="1">
      <w:start w:val="1"/>
      <w:numFmt w:val="decimal"/>
      <w:lvlText w:val="%7."/>
      <w:lvlJc w:val="left"/>
      <w:pPr>
        <w:ind w:left="5322" w:hanging="360"/>
      </w:pPr>
      <w:rPr>
        <w:rFonts w:cs="Times New Roman"/>
      </w:rPr>
    </w:lvl>
    <w:lvl w:ilvl="7" w:tplc="080A0019" w:tentative="1">
      <w:start w:val="1"/>
      <w:numFmt w:val="lowerLetter"/>
      <w:lvlText w:val="%8."/>
      <w:lvlJc w:val="left"/>
      <w:pPr>
        <w:ind w:left="6042" w:hanging="360"/>
      </w:pPr>
      <w:rPr>
        <w:rFonts w:cs="Times New Roman"/>
      </w:rPr>
    </w:lvl>
    <w:lvl w:ilvl="8" w:tplc="080A001B" w:tentative="1">
      <w:start w:val="1"/>
      <w:numFmt w:val="lowerRoman"/>
      <w:lvlText w:val="%9."/>
      <w:lvlJc w:val="right"/>
      <w:pPr>
        <w:ind w:left="6762" w:hanging="180"/>
      </w:pPr>
      <w:rPr>
        <w:rFonts w:cs="Times New Roman"/>
      </w:rPr>
    </w:lvl>
  </w:abstractNum>
  <w:abstractNum w:abstractNumId="6">
    <w:nsid w:val="16D353A0"/>
    <w:multiLevelType w:val="hybridMultilevel"/>
    <w:tmpl w:val="DFA43DB2"/>
    <w:lvl w:ilvl="0" w:tplc="2918DA04">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E46A5D"/>
    <w:multiLevelType w:val="hybridMultilevel"/>
    <w:tmpl w:val="93ACCA26"/>
    <w:lvl w:ilvl="0" w:tplc="2918DA04">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8">
    <w:nsid w:val="1A655D88"/>
    <w:multiLevelType w:val="hybridMultilevel"/>
    <w:tmpl w:val="DFA43DB2"/>
    <w:lvl w:ilvl="0" w:tplc="2918DA04">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3C0D83"/>
    <w:multiLevelType w:val="hybridMultilevel"/>
    <w:tmpl w:val="B10483D6"/>
    <w:lvl w:ilvl="0" w:tplc="24646DF4">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0">
    <w:nsid w:val="1F221F9F"/>
    <w:multiLevelType w:val="hybridMultilevel"/>
    <w:tmpl w:val="7EF8500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255616A6"/>
    <w:multiLevelType w:val="hybridMultilevel"/>
    <w:tmpl w:val="36A4A594"/>
    <w:lvl w:ilvl="0" w:tplc="2918DA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E1357"/>
    <w:multiLevelType w:val="hybridMultilevel"/>
    <w:tmpl w:val="E2EC2A5E"/>
    <w:lvl w:ilvl="0" w:tplc="D2D4B074">
      <w:start w:val="1"/>
      <w:numFmt w:val="decimal"/>
      <w:lvlText w:val="%1)"/>
      <w:lvlJc w:val="left"/>
      <w:pPr>
        <w:ind w:left="1068" w:hanging="360"/>
      </w:pPr>
      <w:rPr>
        <w:b/>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2857416F"/>
    <w:multiLevelType w:val="hybridMultilevel"/>
    <w:tmpl w:val="DAD4B8C8"/>
    <w:lvl w:ilvl="0" w:tplc="04090011">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4">
    <w:nsid w:val="2A15317D"/>
    <w:multiLevelType w:val="hybridMultilevel"/>
    <w:tmpl w:val="75CC9C2C"/>
    <w:lvl w:ilvl="0" w:tplc="2918DA04">
      <w:start w:val="1"/>
      <w:numFmt w:val="decimal"/>
      <w:lvlText w:val="%1)"/>
      <w:lvlJc w:val="left"/>
      <w:pPr>
        <w:ind w:left="1146" w:hanging="360"/>
      </w:pPr>
      <w:rPr>
        <w:rFonts w:cs="Times New Roman"/>
        <w:b/>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15">
    <w:nsid w:val="2A221125"/>
    <w:multiLevelType w:val="hybridMultilevel"/>
    <w:tmpl w:val="BBC2A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4449D7"/>
    <w:multiLevelType w:val="hybridMultilevel"/>
    <w:tmpl w:val="759C741C"/>
    <w:lvl w:ilvl="0" w:tplc="C26EB0D8">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7">
    <w:nsid w:val="35467E5D"/>
    <w:multiLevelType w:val="hybridMultilevel"/>
    <w:tmpl w:val="C39A737A"/>
    <w:lvl w:ilvl="0" w:tplc="39304230">
      <w:start w:val="1"/>
      <w:numFmt w:val="decimal"/>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80393C"/>
    <w:multiLevelType w:val="hybridMultilevel"/>
    <w:tmpl w:val="E6943FBA"/>
    <w:lvl w:ilvl="0" w:tplc="45F4195C">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9">
    <w:nsid w:val="3CCC2DB4"/>
    <w:multiLevelType w:val="hybridMultilevel"/>
    <w:tmpl w:val="021EB186"/>
    <w:lvl w:ilvl="0" w:tplc="04090011">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E6E10"/>
    <w:multiLevelType w:val="hybridMultilevel"/>
    <w:tmpl w:val="5CFED882"/>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4E3D49C2"/>
    <w:multiLevelType w:val="hybridMultilevel"/>
    <w:tmpl w:val="8116B240"/>
    <w:lvl w:ilvl="0" w:tplc="04090011">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664142"/>
    <w:multiLevelType w:val="hybridMultilevel"/>
    <w:tmpl w:val="75CC9C2C"/>
    <w:lvl w:ilvl="0" w:tplc="2918DA04">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23">
    <w:nsid w:val="502977B0"/>
    <w:multiLevelType w:val="hybridMultilevel"/>
    <w:tmpl w:val="BD785EAC"/>
    <w:lvl w:ilvl="0" w:tplc="04090011">
      <w:start w:val="1"/>
      <w:numFmt w:val="decimal"/>
      <w:lvlText w:val="%1)"/>
      <w:lvlJc w:val="lef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4">
    <w:nsid w:val="51CB13B9"/>
    <w:multiLevelType w:val="hybridMultilevel"/>
    <w:tmpl w:val="477A66C2"/>
    <w:lvl w:ilvl="0" w:tplc="2918DA04">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1E90F88"/>
    <w:multiLevelType w:val="hybridMultilevel"/>
    <w:tmpl w:val="E24E6B2C"/>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4AC242A"/>
    <w:multiLevelType w:val="hybridMultilevel"/>
    <w:tmpl w:val="95CC592E"/>
    <w:lvl w:ilvl="0" w:tplc="87F2B172">
      <w:start w:val="1"/>
      <w:numFmt w:val="decimal"/>
      <w:lvlText w:val="%1)"/>
      <w:lvlJc w:val="left"/>
      <w:pPr>
        <w:ind w:left="1068" w:hanging="360"/>
      </w:pPr>
      <w:rPr>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7">
    <w:nsid w:val="56140010"/>
    <w:multiLevelType w:val="hybridMultilevel"/>
    <w:tmpl w:val="6CAC89B6"/>
    <w:lvl w:ilvl="0" w:tplc="8112176C">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8">
    <w:nsid w:val="56E12DD7"/>
    <w:multiLevelType w:val="hybridMultilevel"/>
    <w:tmpl w:val="922AC046"/>
    <w:lvl w:ilvl="0" w:tplc="F692CB58">
      <w:start w:val="1"/>
      <w:numFmt w:val="decimal"/>
      <w:lvlText w:val="%1)"/>
      <w:lvlJc w:val="left"/>
      <w:pPr>
        <w:ind w:left="1068" w:hanging="360"/>
      </w:pPr>
      <w:rPr>
        <w:rFonts w:hint="default"/>
        <w:b/>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nsid w:val="57B0488C"/>
    <w:multiLevelType w:val="hybridMultilevel"/>
    <w:tmpl w:val="5FEEAF82"/>
    <w:lvl w:ilvl="0" w:tplc="8D0EB466">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22" w:hanging="360"/>
      </w:pPr>
      <w:rPr>
        <w:rFonts w:cs="Times New Roman"/>
      </w:rPr>
    </w:lvl>
    <w:lvl w:ilvl="2" w:tplc="080A001B" w:tentative="1">
      <w:start w:val="1"/>
      <w:numFmt w:val="lowerRoman"/>
      <w:lvlText w:val="%3."/>
      <w:lvlJc w:val="right"/>
      <w:pPr>
        <w:ind w:left="2442" w:hanging="180"/>
      </w:pPr>
      <w:rPr>
        <w:rFonts w:cs="Times New Roman"/>
      </w:rPr>
    </w:lvl>
    <w:lvl w:ilvl="3" w:tplc="080A000F" w:tentative="1">
      <w:start w:val="1"/>
      <w:numFmt w:val="decimal"/>
      <w:lvlText w:val="%4."/>
      <w:lvlJc w:val="left"/>
      <w:pPr>
        <w:ind w:left="3162" w:hanging="360"/>
      </w:pPr>
      <w:rPr>
        <w:rFonts w:cs="Times New Roman"/>
      </w:rPr>
    </w:lvl>
    <w:lvl w:ilvl="4" w:tplc="080A0019" w:tentative="1">
      <w:start w:val="1"/>
      <w:numFmt w:val="lowerLetter"/>
      <w:lvlText w:val="%5."/>
      <w:lvlJc w:val="left"/>
      <w:pPr>
        <w:ind w:left="3882" w:hanging="360"/>
      </w:pPr>
      <w:rPr>
        <w:rFonts w:cs="Times New Roman"/>
      </w:rPr>
    </w:lvl>
    <w:lvl w:ilvl="5" w:tplc="080A001B" w:tentative="1">
      <w:start w:val="1"/>
      <w:numFmt w:val="lowerRoman"/>
      <w:lvlText w:val="%6."/>
      <w:lvlJc w:val="right"/>
      <w:pPr>
        <w:ind w:left="4602" w:hanging="180"/>
      </w:pPr>
      <w:rPr>
        <w:rFonts w:cs="Times New Roman"/>
      </w:rPr>
    </w:lvl>
    <w:lvl w:ilvl="6" w:tplc="080A000F" w:tentative="1">
      <w:start w:val="1"/>
      <w:numFmt w:val="decimal"/>
      <w:lvlText w:val="%7."/>
      <w:lvlJc w:val="left"/>
      <w:pPr>
        <w:ind w:left="5322" w:hanging="360"/>
      </w:pPr>
      <w:rPr>
        <w:rFonts w:cs="Times New Roman"/>
      </w:rPr>
    </w:lvl>
    <w:lvl w:ilvl="7" w:tplc="080A0019" w:tentative="1">
      <w:start w:val="1"/>
      <w:numFmt w:val="lowerLetter"/>
      <w:lvlText w:val="%8."/>
      <w:lvlJc w:val="left"/>
      <w:pPr>
        <w:ind w:left="6042" w:hanging="360"/>
      </w:pPr>
      <w:rPr>
        <w:rFonts w:cs="Times New Roman"/>
      </w:rPr>
    </w:lvl>
    <w:lvl w:ilvl="8" w:tplc="080A001B" w:tentative="1">
      <w:start w:val="1"/>
      <w:numFmt w:val="lowerRoman"/>
      <w:lvlText w:val="%9."/>
      <w:lvlJc w:val="right"/>
      <w:pPr>
        <w:ind w:left="6762" w:hanging="180"/>
      </w:pPr>
      <w:rPr>
        <w:rFonts w:cs="Times New Roman"/>
      </w:rPr>
    </w:lvl>
  </w:abstractNum>
  <w:abstractNum w:abstractNumId="30">
    <w:nsid w:val="58D400F7"/>
    <w:multiLevelType w:val="hybridMultilevel"/>
    <w:tmpl w:val="5FDA848E"/>
    <w:lvl w:ilvl="0" w:tplc="04090011">
      <w:start w:val="1"/>
      <w:numFmt w:val="decimal"/>
      <w:lvlText w:val="%1)"/>
      <w:lvlJc w:val="left"/>
      <w:pPr>
        <w:ind w:left="1070" w:hanging="360"/>
      </w:pPr>
      <w:rPr>
        <w:rFonts w:cs="Times New Roman"/>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5A006A07"/>
    <w:multiLevelType w:val="hybridMultilevel"/>
    <w:tmpl w:val="C064636E"/>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5A967314"/>
    <w:multiLevelType w:val="hybridMultilevel"/>
    <w:tmpl w:val="1A3A9682"/>
    <w:lvl w:ilvl="0" w:tplc="04090011">
      <w:start w:val="1"/>
      <w:numFmt w:val="decimal"/>
      <w:lvlText w:val="%1)"/>
      <w:lvlJc w:val="lef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33">
    <w:nsid w:val="5AD27928"/>
    <w:multiLevelType w:val="hybridMultilevel"/>
    <w:tmpl w:val="0B644344"/>
    <w:lvl w:ilvl="0" w:tplc="DD9E922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5B8B1A15"/>
    <w:multiLevelType w:val="hybridMultilevel"/>
    <w:tmpl w:val="A1F0F934"/>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5">
    <w:nsid w:val="5C55710C"/>
    <w:multiLevelType w:val="hybridMultilevel"/>
    <w:tmpl w:val="6EC040B2"/>
    <w:lvl w:ilvl="0" w:tplc="2918DA04">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5D9F6F15"/>
    <w:multiLevelType w:val="hybridMultilevel"/>
    <w:tmpl w:val="E24E6B2C"/>
    <w:lvl w:ilvl="0" w:tplc="04090011">
      <w:start w:val="1"/>
      <w:numFmt w:val="decimal"/>
      <w:lvlText w:val="%1)"/>
      <w:lvlJc w:val="left"/>
      <w:pPr>
        <w:ind w:left="1070" w:hanging="360"/>
      </w:pPr>
      <w:rPr>
        <w:rFonts w:cs="Times New Roman"/>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7">
    <w:nsid w:val="619027D9"/>
    <w:multiLevelType w:val="hybridMultilevel"/>
    <w:tmpl w:val="561604D2"/>
    <w:lvl w:ilvl="0" w:tplc="40AA41A0">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38">
    <w:nsid w:val="63C720A9"/>
    <w:multiLevelType w:val="hybridMultilevel"/>
    <w:tmpl w:val="63983B90"/>
    <w:lvl w:ilvl="0" w:tplc="2918DA0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7351D39"/>
    <w:multiLevelType w:val="hybridMultilevel"/>
    <w:tmpl w:val="5FEEAF82"/>
    <w:lvl w:ilvl="0" w:tplc="8D0EB466">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22" w:hanging="360"/>
      </w:pPr>
      <w:rPr>
        <w:rFonts w:cs="Times New Roman"/>
      </w:rPr>
    </w:lvl>
    <w:lvl w:ilvl="2" w:tplc="080A001B" w:tentative="1">
      <w:start w:val="1"/>
      <w:numFmt w:val="lowerRoman"/>
      <w:lvlText w:val="%3."/>
      <w:lvlJc w:val="right"/>
      <w:pPr>
        <w:ind w:left="2442" w:hanging="180"/>
      </w:pPr>
      <w:rPr>
        <w:rFonts w:cs="Times New Roman"/>
      </w:rPr>
    </w:lvl>
    <w:lvl w:ilvl="3" w:tplc="080A000F" w:tentative="1">
      <w:start w:val="1"/>
      <w:numFmt w:val="decimal"/>
      <w:lvlText w:val="%4."/>
      <w:lvlJc w:val="left"/>
      <w:pPr>
        <w:ind w:left="3162" w:hanging="360"/>
      </w:pPr>
      <w:rPr>
        <w:rFonts w:cs="Times New Roman"/>
      </w:rPr>
    </w:lvl>
    <w:lvl w:ilvl="4" w:tplc="080A0019" w:tentative="1">
      <w:start w:val="1"/>
      <w:numFmt w:val="lowerLetter"/>
      <w:lvlText w:val="%5."/>
      <w:lvlJc w:val="left"/>
      <w:pPr>
        <w:ind w:left="3882" w:hanging="360"/>
      </w:pPr>
      <w:rPr>
        <w:rFonts w:cs="Times New Roman"/>
      </w:rPr>
    </w:lvl>
    <w:lvl w:ilvl="5" w:tplc="080A001B" w:tentative="1">
      <w:start w:val="1"/>
      <w:numFmt w:val="lowerRoman"/>
      <w:lvlText w:val="%6."/>
      <w:lvlJc w:val="right"/>
      <w:pPr>
        <w:ind w:left="4602" w:hanging="180"/>
      </w:pPr>
      <w:rPr>
        <w:rFonts w:cs="Times New Roman"/>
      </w:rPr>
    </w:lvl>
    <w:lvl w:ilvl="6" w:tplc="080A000F" w:tentative="1">
      <w:start w:val="1"/>
      <w:numFmt w:val="decimal"/>
      <w:lvlText w:val="%7."/>
      <w:lvlJc w:val="left"/>
      <w:pPr>
        <w:ind w:left="5322" w:hanging="360"/>
      </w:pPr>
      <w:rPr>
        <w:rFonts w:cs="Times New Roman"/>
      </w:rPr>
    </w:lvl>
    <w:lvl w:ilvl="7" w:tplc="080A0019" w:tentative="1">
      <w:start w:val="1"/>
      <w:numFmt w:val="lowerLetter"/>
      <w:lvlText w:val="%8."/>
      <w:lvlJc w:val="left"/>
      <w:pPr>
        <w:ind w:left="6042" w:hanging="360"/>
      </w:pPr>
      <w:rPr>
        <w:rFonts w:cs="Times New Roman"/>
      </w:rPr>
    </w:lvl>
    <w:lvl w:ilvl="8" w:tplc="080A001B" w:tentative="1">
      <w:start w:val="1"/>
      <w:numFmt w:val="lowerRoman"/>
      <w:lvlText w:val="%9."/>
      <w:lvlJc w:val="right"/>
      <w:pPr>
        <w:ind w:left="6762" w:hanging="180"/>
      </w:pPr>
      <w:rPr>
        <w:rFonts w:cs="Times New Roman"/>
      </w:rPr>
    </w:lvl>
  </w:abstractNum>
  <w:abstractNum w:abstractNumId="40">
    <w:nsid w:val="6AA175CD"/>
    <w:multiLevelType w:val="hybridMultilevel"/>
    <w:tmpl w:val="8AD802CA"/>
    <w:lvl w:ilvl="0" w:tplc="2918DA04">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1">
    <w:nsid w:val="6B6E32E8"/>
    <w:multiLevelType w:val="hybridMultilevel"/>
    <w:tmpl w:val="D49AC3FC"/>
    <w:lvl w:ilvl="0" w:tplc="04090011">
      <w:start w:val="1"/>
      <w:numFmt w:val="decimal"/>
      <w:lvlText w:val="%1)"/>
      <w:lvlJc w:val="lef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2">
    <w:nsid w:val="6F3638AA"/>
    <w:multiLevelType w:val="hybridMultilevel"/>
    <w:tmpl w:val="A1F0F934"/>
    <w:lvl w:ilvl="0" w:tplc="04090011">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3">
    <w:nsid w:val="701F1368"/>
    <w:multiLevelType w:val="hybridMultilevel"/>
    <w:tmpl w:val="72A6D288"/>
    <w:lvl w:ilvl="0" w:tplc="2918DA04">
      <w:start w:val="1"/>
      <w:numFmt w:val="decimal"/>
      <w:lvlText w:val="%1)"/>
      <w:lvlJc w:val="left"/>
      <w:pPr>
        <w:ind w:left="1080" w:hanging="360"/>
      </w:pPr>
      <w:rPr>
        <w:rFonts w:cs="Times New Roman"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nsid w:val="704601C5"/>
    <w:multiLevelType w:val="hybridMultilevel"/>
    <w:tmpl w:val="265AB444"/>
    <w:lvl w:ilvl="0" w:tplc="2918DA04">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5">
    <w:nsid w:val="73EF6A00"/>
    <w:multiLevelType w:val="hybridMultilevel"/>
    <w:tmpl w:val="75CC9C2C"/>
    <w:lvl w:ilvl="0" w:tplc="2918DA04">
      <w:start w:val="1"/>
      <w:numFmt w:val="decimal"/>
      <w:lvlText w:val="%1)"/>
      <w:lvlJc w:val="left"/>
      <w:pPr>
        <w:ind w:left="1146" w:hanging="360"/>
      </w:pPr>
      <w:rPr>
        <w:rFonts w:cs="Times New Roman"/>
        <w:b/>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46">
    <w:nsid w:val="73FD7D57"/>
    <w:multiLevelType w:val="hybridMultilevel"/>
    <w:tmpl w:val="A52C0B38"/>
    <w:lvl w:ilvl="0" w:tplc="04090011">
      <w:start w:val="1"/>
      <w:numFmt w:val="decimal"/>
      <w:lvlText w:val="%1)"/>
      <w:lvlJc w:val="left"/>
      <w:pPr>
        <w:ind w:left="1070" w:hanging="360"/>
      </w:pPr>
      <w:rPr>
        <w:rFonts w:cs="Times New Roman"/>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7">
    <w:nsid w:val="7F0C3A78"/>
    <w:multiLevelType w:val="hybridMultilevel"/>
    <w:tmpl w:val="20E67048"/>
    <w:lvl w:ilvl="0" w:tplc="0C88F768">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num w:numId="1">
    <w:abstractNumId w:val="13"/>
  </w:num>
  <w:num w:numId="2">
    <w:abstractNumId w:val="37"/>
  </w:num>
  <w:num w:numId="3">
    <w:abstractNumId w:val="44"/>
  </w:num>
  <w:num w:numId="4">
    <w:abstractNumId w:val="7"/>
  </w:num>
  <w:num w:numId="5">
    <w:abstractNumId w:val="26"/>
  </w:num>
  <w:num w:numId="6">
    <w:abstractNumId w:val="0"/>
  </w:num>
  <w:num w:numId="7">
    <w:abstractNumId w:val="40"/>
  </w:num>
  <w:num w:numId="8">
    <w:abstractNumId w:val="17"/>
  </w:num>
  <w:num w:numId="9">
    <w:abstractNumId w:val="14"/>
  </w:num>
  <w:num w:numId="10">
    <w:abstractNumId w:val="47"/>
  </w:num>
  <w:num w:numId="11">
    <w:abstractNumId w:val="27"/>
  </w:num>
  <w:num w:numId="12">
    <w:abstractNumId w:val="32"/>
  </w:num>
  <w:num w:numId="13">
    <w:abstractNumId w:val="23"/>
  </w:num>
  <w:num w:numId="14">
    <w:abstractNumId w:val="22"/>
  </w:num>
  <w:num w:numId="15">
    <w:abstractNumId w:val="45"/>
  </w:num>
  <w:num w:numId="16">
    <w:abstractNumId w:val="39"/>
  </w:num>
  <w:num w:numId="17">
    <w:abstractNumId w:val="5"/>
  </w:num>
  <w:num w:numId="18">
    <w:abstractNumId w:val="29"/>
  </w:num>
  <w:num w:numId="19">
    <w:abstractNumId w:val="16"/>
  </w:num>
  <w:num w:numId="20">
    <w:abstractNumId w:val="42"/>
  </w:num>
  <w:num w:numId="21">
    <w:abstractNumId w:val="18"/>
  </w:num>
  <w:num w:numId="22">
    <w:abstractNumId w:val="9"/>
  </w:num>
  <w:num w:numId="23">
    <w:abstractNumId w:val="3"/>
  </w:num>
  <w:num w:numId="24">
    <w:abstractNumId w:val="33"/>
  </w:num>
  <w:num w:numId="25">
    <w:abstractNumId w:val="35"/>
  </w:num>
  <w:num w:numId="26">
    <w:abstractNumId w:val="12"/>
  </w:num>
  <w:num w:numId="27">
    <w:abstractNumId w:val="25"/>
  </w:num>
  <w:num w:numId="28">
    <w:abstractNumId w:val="36"/>
  </w:num>
  <w:num w:numId="29">
    <w:abstractNumId w:val="46"/>
  </w:num>
  <w:num w:numId="30">
    <w:abstractNumId w:val="4"/>
  </w:num>
  <w:num w:numId="31">
    <w:abstractNumId w:val="19"/>
  </w:num>
  <w:num w:numId="32">
    <w:abstractNumId w:val="1"/>
  </w:num>
  <w:num w:numId="33">
    <w:abstractNumId w:val="10"/>
  </w:num>
  <w:num w:numId="34">
    <w:abstractNumId w:val="31"/>
  </w:num>
  <w:num w:numId="35">
    <w:abstractNumId w:val="20"/>
  </w:num>
  <w:num w:numId="36">
    <w:abstractNumId w:val="28"/>
  </w:num>
  <w:num w:numId="37">
    <w:abstractNumId w:val="2"/>
  </w:num>
  <w:num w:numId="38">
    <w:abstractNumId w:val="15"/>
  </w:num>
  <w:num w:numId="39">
    <w:abstractNumId w:val="11"/>
  </w:num>
  <w:num w:numId="40">
    <w:abstractNumId w:val="34"/>
  </w:num>
  <w:num w:numId="41">
    <w:abstractNumId w:val="38"/>
  </w:num>
  <w:num w:numId="42">
    <w:abstractNumId w:val="21"/>
  </w:num>
  <w:num w:numId="43">
    <w:abstractNumId w:val="30"/>
  </w:num>
  <w:num w:numId="44">
    <w:abstractNumId w:val="24"/>
  </w:num>
  <w:num w:numId="45">
    <w:abstractNumId w:val="41"/>
  </w:num>
  <w:num w:numId="46">
    <w:abstractNumId w:val="43"/>
  </w:num>
  <w:num w:numId="47">
    <w:abstractNumId w:val="8"/>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F15373"/>
    <w:rsid w:val="00006C03"/>
    <w:rsid w:val="000279D1"/>
    <w:rsid w:val="00034977"/>
    <w:rsid w:val="0006591A"/>
    <w:rsid w:val="00077EA0"/>
    <w:rsid w:val="000911DE"/>
    <w:rsid w:val="0009214E"/>
    <w:rsid w:val="000D336D"/>
    <w:rsid w:val="000D3BCC"/>
    <w:rsid w:val="000F1546"/>
    <w:rsid w:val="00104B2E"/>
    <w:rsid w:val="00107969"/>
    <w:rsid w:val="00123478"/>
    <w:rsid w:val="0012382E"/>
    <w:rsid w:val="00127ADE"/>
    <w:rsid w:val="00132D6F"/>
    <w:rsid w:val="00135B97"/>
    <w:rsid w:val="00145A1C"/>
    <w:rsid w:val="001552A2"/>
    <w:rsid w:val="00182350"/>
    <w:rsid w:val="00190A17"/>
    <w:rsid w:val="001A0E69"/>
    <w:rsid w:val="001A4A6D"/>
    <w:rsid w:val="001B6AC0"/>
    <w:rsid w:val="001C287E"/>
    <w:rsid w:val="001D66C2"/>
    <w:rsid w:val="001F1FE4"/>
    <w:rsid w:val="001F6017"/>
    <w:rsid w:val="002002DF"/>
    <w:rsid w:val="00223B99"/>
    <w:rsid w:val="00230071"/>
    <w:rsid w:val="00233C7A"/>
    <w:rsid w:val="00234553"/>
    <w:rsid w:val="00255C38"/>
    <w:rsid w:val="00256B9D"/>
    <w:rsid w:val="002575FD"/>
    <w:rsid w:val="00267D39"/>
    <w:rsid w:val="00280136"/>
    <w:rsid w:val="00283FA7"/>
    <w:rsid w:val="002840C4"/>
    <w:rsid w:val="002968AF"/>
    <w:rsid w:val="002A4211"/>
    <w:rsid w:val="002A5A70"/>
    <w:rsid w:val="002E5F0F"/>
    <w:rsid w:val="002F19A5"/>
    <w:rsid w:val="002F32F4"/>
    <w:rsid w:val="00307266"/>
    <w:rsid w:val="00337BCB"/>
    <w:rsid w:val="003474CA"/>
    <w:rsid w:val="00363722"/>
    <w:rsid w:val="00384DD8"/>
    <w:rsid w:val="00385F29"/>
    <w:rsid w:val="003A3EC5"/>
    <w:rsid w:val="003C25E2"/>
    <w:rsid w:val="003F15F1"/>
    <w:rsid w:val="003F5670"/>
    <w:rsid w:val="00413AE4"/>
    <w:rsid w:val="004468CF"/>
    <w:rsid w:val="00454968"/>
    <w:rsid w:val="004566FE"/>
    <w:rsid w:val="00460BBE"/>
    <w:rsid w:val="004725C3"/>
    <w:rsid w:val="004A12F3"/>
    <w:rsid w:val="004A6EAC"/>
    <w:rsid w:val="004D2439"/>
    <w:rsid w:val="004D7F11"/>
    <w:rsid w:val="004E705D"/>
    <w:rsid w:val="00500692"/>
    <w:rsid w:val="00506E6C"/>
    <w:rsid w:val="00515D33"/>
    <w:rsid w:val="00516366"/>
    <w:rsid w:val="0052718B"/>
    <w:rsid w:val="00536419"/>
    <w:rsid w:val="00537CE0"/>
    <w:rsid w:val="0055637B"/>
    <w:rsid w:val="00563154"/>
    <w:rsid w:val="00587000"/>
    <w:rsid w:val="005B23FC"/>
    <w:rsid w:val="005C11D3"/>
    <w:rsid w:val="005C69D2"/>
    <w:rsid w:val="005E3FB5"/>
    <w:rsid w:val="00601406"/>
    <w:rsid w:val="00606A25"/>
    <w:rsid w:val="00612EEE"/>
    <w:rsid w:val="00637CAC"/>
    <w:rsid w:val="006611F8"/>
    <w:rsid w:val="00661941"/>
    <w:rsid w:val="00666A74"/>
    <w:rsid w:val="00666AC3"/>
    <w:rsid w:val="00674DFA"/>
    <w:rsid w:val="0068601C"/>
    <w:rsid w:val="006A4232"/>
    <w:rsid w:val="006A71BF"/>
    <w:rsid w:val="006C059E"/>
    <w:rsid w:val="006C26CF"/>
    <w:rsid w:val="006D03B9"/>
    <w:rsid w:val="006D046F"/>
    <w:rsid w:val="006F338F"/>
    <w:rsid w:val="006F4DD8"/>
    <w:rsid w:val="007040D6"/>
    <w:rsid w:val="007142F6"/>
    <w:rsid w:val="00740A0B"/>
    <w:rsid w:val="00751D66"/>
    <w:rsid w:val="007773D4"/>
    <w:rsid w:val="00786B99"/>
    <w:rsid w:val="007A48B2"/>
    <w:rsid w:val="007A4A0B"/>
    <w:rsid w:val="007A5960"/>
    <w:rsid w:val="007C5FBA"/>
    <w:rsid w:val="007D0793"/>
    <w:rsid w:val="007D0967"/>
    <w:rsid w:val="007F0EF1"/>
    <w:rsid w:val="00816C08"/>
    <w:rsid w:val="00842688"/>
    <w:rsid w:val="008438CD"/>
    <w:rsid w:val="00850933"/>
    <w:rsid w:val="008529C4"/>
    <w:rsid w:val="00866ED8"/>
    <w:rsid w:val="00871C1A"/>
    <w:rsid w:val="008831F6"/>
    <w:rsid w:val="00883BE5"/>
    <w:rsid w:val="00887C14"/>
    <w:rsid w:val="008B5BF0"/>
    <w:rsid w:val="008B6D4F"/>
    <w:rsid w:val="008C6A12"/>
    <w:rsid w:val="008F09D2"/>
    <w:rsid w:val="00905DC2"/>
    <w:rsid w:val="00917F6F"/>
    <w:rsid w:val="009245E6"/>
    <w:rsid w:val="00925D33"/>
    <w:rsid w:val="00931858"/>
    <w:rsid w:val="0094173B"/>
    <w:rsid w:val="009459A4"/>
    <w:rsid w:val="0095023C"/>
    <w:rsid w:val="0099093C"/>
    <w:rsid w:val="009B45FB"/>
    <w:rsid w:val="009B798E"/>
    <w:rsid w:val="009C353E"/>
    <w:rsid w:val="009D0ECE"/>
    <w:rsid w:val="009E4C7A"/>
    <w:rsid w:val="009F3F99"/>
    <w:rsid w:val="00A10343"/>
    <w:rsid w:val="00A31CF4"/>
    <w:rsid w:val="00A346C5"/>
    <w:rsid w:val="00A378B1"/>
    <w:rsid w:val="00A53AB6"/>
    <w:rsid w:val="00A66CB4"/>
    <w:rsid w:val="00A676FD"/>
    <w:rsid w:val="00A726E4"/>
    <w:rsid w:val="00A862E1"/>
    <w:rsid w:val="00AB08AB"/>
    <w:rsid w:val="00AB0DDD"/>
    <w:rsid w:val="00AB3BFA"/>
    <w:rsid w:val="00AB3D9A"/>
    <w:rsid w:val="00B21E25"/>
    <w:rsid w:val="00B33387"/>
    <w:rsid w:val="00B35124"/>
    <w:rsid w:val="00B3642B"/>
    <w:rsid w:val="00B61AA3"/>
    <w:rsid w:val="00B721A5"/>
    <w:rsid w:val="00B81C58"/>
    <w:rsid w:val="00B84545"/>
    <w:rsid w:val="00B9273F"/>
    <w:rsid w:val="00BA044F"/>
    <w:rsid w:val="00BA5E92"/>
    <w:rsid w:val="00BB05AD"/>
    <w:rsid w:val="00BB7EAF"/>
    <w:rsid w:val="00BE1D53"/>
    <w:rsid w:val="00BE2679"/>
    <w:rsid w:val="00BE3862"/>
    <w:rsid w:val="00C0055C"/>
    <w:rsid w:val="00C00810"/>
    <w:rsid w:val="00C10DE5"/>
    <w:rsid w:val="00C3537A"/>
    <w:rsid w:val="00C40F24"/>
    <w:rsid w:val="00C47941"/>
    <w:rsid w:val="00C50DEC"/>
    <w:rsid w:val="00C56107"/>
    <w:rsid w:val="00C564A8"/>
    <w:rsid w:val="00C6607F"/>
    <w:rsid w:val="00C675EA"/>
    <w:rsid w:val="00C740C3"/>
    <w:rsid w:val="00CA3303"/>
    <w:rsid w:val="00CB021B"/>
    <w:rsid w:val="00CE64DF"/>
    <w:rsid w:val="00CF3231"/>
    <w:rsid w:val="00CF3A02"/>
    <w:rsid w:val="00D1682F"/>
    <w:rsid w:val="00D273A0"/>
    <w:rsid w:val="00D33CA0"/>
    <w:rsid w:val="00D50737"/>
    <w:rsid w:val="00D52266"/>
    <w:rsid w:val="00D5245D"/>
    <w:rsid w:val="00D52627"/>
    <w:rsid w:val="00D63F7F"/>
    <w:rsid w:val="00D64595"/>
    <w:rsid w:val="00D65088"/>
    <w:rsid w:val="00D65E50"/>
    <w:rsid w:val="00D71C3D"/>
    <w:rsid w:val="00D87EA9"/>
    <w:rsid w:val="00D9042F"/>
    <w:rsid w:val="00DC6375"/>
    <w:rsid w:val="00DC6CDC"/>
    <w:rsid w:val="00E003F8"/>
    <w:rsid w:val="00E26D46"/>
    <w:rsid w:val="00E33705"/>
    <w:rsid w:val="00E350E6"/>
    <w:rsid w:val="00E63CAB"/>
    <w:rsid w:val="00E81E2C"/>
    <w:rsid w:val="00EA0CF3"/>
    <w:rsid w:val="00EA257B"/>
    <w:rsid w:val="00EB0A65"/>
    <w:rsid w:val="00EC287F"/>
    <w:rsid w:val="00ED3AF3"/>
    <w:rsid w:val="00F03BAF"/>
    <w:rsid w:val="00F06E9D"/>
    <w:rsid w:val="00F15373"/>
    <w:rsid w:val="00F22588"/>
    <w:rsid w:val="00F2333D"/>
    <w:rsid w:val="00F36B6B"/>
    <w:rsid w:val="00F6410E"/>
    <w:rsid w:val="00F74954"/>
    <w:rsid w:val="00F840E5"/>
    <w:rsid w:val="00F91D04"/>
    <w:rsid w:val="00FA388E"/>
    <w:rsid w:val="00FD3F0D"/>
    <w:rsid w:val="00FE7E24"/>
    <w:rsid w:val="00FF1F29"/>
    <w:rsid w:val="00FF3F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73"/>
    <w:rPr>
      <w:rFonts w:ascii="Calibri" w:eastAsia="Calibri" w:hAnsi="Calibri" w:cs="Times New Roman"/>
    </w:rPr>
  </w:style>
  <w:style w:type="paragraph" w:styleId="Ttulo1">
    <w:name w:val="heading 1"/>
    <w:basedOn w:val="Normal"/>
    <w:link w:val="Ttulo1Car"/>
    <w:uiPriority w:val="9"/>
    <w:qFormat/>
    <w:rsid w:val="00C5610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73"/>
    <w:pPr>
      <w:ind w:left="720"/>
      <w:contextualSpacing/>
    </w:pPr>
  </w:style>
  <w:style w:type="paragraph" w:styleId="Encabezado">
    <w:name w:val="header"/>
    <w:basedOn w:val="Normal"/>
    <w:link w:val="EncabezadoCar"/>
    <w:uiPriority w:val="99"/>
    <w:rsid w:val="00F1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73"/>
    <w:rPr>
      <w:rFonts w:ascii="Calibri" w:eastAsia="Calibri" w:hAnsi="Calibri" w:cs="Times New Roman"/>
    </w:rPr>
  </w:style>
  <w:style w:type="paragraph" w:styleId="Piedepgina">
    <w:name w:val="footer"/>
    <w:basedOn w:val="Normal"/>
    <w:link w:val="PiedepginaCar"/>
    <w:uiPriority w:val="99"/>
    <w:rsid w:val="00F1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73"/>
    <w:rPr>
      <w:rFonts w:ascii="Calibri" w:eastAsia="Calibri" w:hAnsi="Calibri" w:cs="Times New Roman"/>
    </w:rPr>
  </w:style>
  <w:style w:type="paragraph" w:styleId="Sinespaciado">
    <w:name w:val="No Spacing"/>
    <w:uiPriority w:val="1"/>
    <w:qFormat/>
    <w:rsid w:val="00F1537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F15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373"/>
    <w:rPr>
      <w:rFonts w:ascii="Tahoma" w:eastAsia="Calibri" w:hAnsi="Tahoma" w:cs="Tahoma"/>
      <w:sz w:val="16"/>
      <w:szCs w:val="16"/>
    </w:rPr>
  </w:style>
  <w:style w:type="character" w:customStyle="1" w:styleId="Ttulo1Car">
    <w:name w:val="Título 1 Car"/>
    <w:basedOn w:val="Fuentedeprrafopredeter"/>
    <w:link w:val="Ttulo1"/>
    <w:uiPriority w:val="9"/>
    <w:rsid w:val="00C56107"/>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73"/>
    <w:rPr>
      <w:rFonts w:ascii="Calibri" w:eastAsia="Calibri" w:hAnsi="Calibri" w:cs="Times New Roman"/>
    </w:rPr>
  </w:style>
  <w:style w:type="paragraph" w:styleId="Ttulo1">
    <w:name w:val="heading 1"/>
    <w:basedOn w:val="Normal"/>
    <w:link w:val="Ttulo1Car"/>
    <w:uiPriority w:val="9"/>
    <w:qFormat/>
    <w:rsid w:val="00C5610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73"/>
    <w:pPr>
      <w:ind w:left="720"/>
      <w:contextualSpacing/>
    </w:pPr>
  </w:style>
  <w:style w:type="paragraph" w:styleId="Encabezado">
    <w:name w:val="header"/>
    <w:basedOn w:val="Normal"/>
    <w:link w:val="EncabezadoCar"/>
    <w:uiPriority w:val="99"/>
    <w:rsid w:val="00F1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73"/>
    <w:rPr>
      <w:rFonts w:ascii="Calibri" w:eastAsia="Calibri" w:hAnsi="Calibri" w:cs="Times New Roman"/>
    </w:rPr>
  </w:style>
  <w:style w:type="paragraph" w:styleId="Piedepgina">
    <w:name w:val="footer"/>
    <w:basedOn w:val="Normal"/>
    <w:link w:val="PiedepginaCar"/>
    <w:uiPriority w:val="99"/>
    <w:rsid w:val="00F1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73"/>
    <w:rPr>
      <w:rFonts w:ascii="Calibri" w:eastAsia="Calibri" w:hAnsi="Calibri" w:cs="Times New Roman"/>
    </w:rPr>
  </w:style>
  <w:style w:type="paragraph" w:styleId="Sinespaciado">
    <w:name w:val="No Spacing"/>
    <w:uiPriority w:val="1"/>
    <w:qFormat/>
    <w:rsid w:val="00F1537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F15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373"/>
    <w:rPr>
      <w:rFonts w:ascii="Tahoma" w:eastAsia="Calibri" w:hAnsi="Tahoma" w:cs="Tahoma"/>
      <w:sz w:val="16"/>
      <w:szCs w:val="16"/>
    </w:rPr>
  </w:style>
  <w:style w:type="character" w:customStyle="1" w:styleId="Ttulo1Car">
    <w:name w:val="Título 1 Car"/>
    <w:basedOn w:val="Fuentedeprrafopredeter"/>
    <w:link w:val="Ttulo1"/>
    <w:uiPriority w:val="9"/>
    <w:rsid w:val="00C56107"/>
    <w:rPr>
      <w:rFonts w:ascii="Times New Roman" w:eastAsia="Times New Roman" w:hAnsi="Times New Roman" w:cs="Times New Roman"/>
      <w:b/>
      <w:bCs/>
      <w:kern w:val="36"/>
      <w:sz w:val="48"/>
      <w:szCs w:val="48"/>
      <w:lang w:eastAsia="es-MX"/>
    </w:rPr>
  </w:style>
</w:styles>
</file>

<file path=word/webSettings.xml><?xml version="1.0" encoding="utf-8"?>
<w:webSettings xmlns:r="http://schemas.openxmlformats.org/officeDocument/2006/relationships" xmlns:w="http://schemas.openxmlformats.org/wordprocessingml/2006/main">
  <w:divs>
    <w:div w:id="11278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8</Pages>
  <Words>1855</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Evaluacin</dc:creator>
  <cp:lastModifiedBy>Auxiliar Evaluacin</cp:lastModifiedBy>
  <cp:revision>34</cp:revision>
  <dcterms:created xsi:type="dcterms:W3CDTF">2014-05-04T21:54:00Z</dcterms:created>
  <dcterms:modified xsi:type="dcterms:W3CDTF">2014-09-02T18:47:00Z</dcterms:modified>
</cp:coreProperties>
</file>