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53B" w:rsidRPr="00E444A9" w:rsidRDefault="00C5653B" w:rsidP="00C5653B">
      <w:pPr>
        <w:jc w:val="center"/>
        <w:rPr>
          <w:rFonts w:asciiTheme="minorHAnsi" w:hAnsiTheme="minorHAnsi" w:cstheme="minorHAnsi"/>
          <w:b/>
          <w:szCs w:val="20"/>
        </w:rPr>
      </w:pPr>
      <w:r w:rsidRPr="00E444A9">
        <w:rPr>
          <w:rFonts w:asciiTheme="minorHAnsi" w:hAnsiTheme="minorHAnsi" w:cstheme="minorHAnsi"/>
          <w:b/>
        </w:rPr>
        <w:t>RECOMENDACIONES DERIVADAS DEL PROCESO DE EVALUACION DE LA INFORMACIÓN PÚBLICA DE OFICIO QUE DEBEN DAR A CONOCER LOS SUJETOS OBLIGADOS EN SUS PORTALES DE OBLIGACIONES DE TRANSPARENCIA*</w:t>
      </w:r>
    </w:p>
    <w:p w:rsidR="00C5653B" w:rsidRPr="00E444A9" w:rsidRDefault="00C5653B" w:rsidP="00C5653B">
      <w:pPr>
        <w:tabs>
          <w:tab w:val="left" w:pos="2190"/>
          <w:tab w:val="center" w:pos="4606"/>
        </w:tabs>
        <w:jc w:val="center"/>
        <w:rPr>
          <w:rFonts w:asciiTheme="minorHAnsi" w:hAnsiTheme="minorHAnsi" w:cstheme="minorHAnsi"/>
          <w:b/>
          <w:szCs w:val="20"/>
        </w:rPr>
      </w:pPr>
      <w:r w:rsidRPr="00E444A9">
        <w:rPr>
          <w:rFonts w:asciiTheme="minorHAnsi" w:hAnsiTheme="minorHAnsi" w:cstheme="minorHAnsi"/>
          <w:b/>
          <w:szCs w:val="20"/>
        </w:rPr>
        <w:t>PODER LEGISLATIVO DEL ESTADO DE BAJA CALIFORNIA</w:t>
      </w:r>
    </w:p>
    <w:p w:rsidR="00C5653B" w:rsidRPr="00E444A9" w:rsidRDefault="00C5653B" w:rsidP="00C5653B">
      <w:pPr>
        <w:jc w:val="center"/>
        <w:rPr>
          <w:rFonts w:asciiTheme="minorHAnsi" w:hAnsiTheme="minorHAnsi" w:cstheme="minorHAnsi"/>
          <w:b/>
          <w:szCs w:val="20"/>
        </w:rPr>
      </w:pPr>
      <w:r w:rsidRPr="00E444A9">
        <w:rPr>
          <w:rFonts w:asciiTheme="minorHAnsi" w:hAnsiTheme="minorHAnsi" w:cstheme="minorHAnsi"/>
          <w:b/>
          <w:szCs w:val="20"/>
        </w:rPr>
        <w:t>2do. Trimestre 2014</w:t>
      </w:r>
    </w:p>
    <w:p w:rsidR="00C5653B" w:rsidRPr="00E444A9" w:rsidRDefault="00C5653B" w:rsidP="00C5653B">
      <w:pPr>
        <w:jc w:val="both"/>
        <w:rPr>
          <w:rFonts w:asciiTheme="minorHAnsi" w:hAnsiTheme="minorHAnsi" w:cstheme="minorHAnsi"/>
          <w:b/>
          <w:szCs w:val="20"/>
        </w:rPr>
      </w:pPr>
    </w:p>
    <w:p w:rsidR="00C5653B" w:rsidRPr="00E444A9" w:rsidRDefault="00C5653B" w:rsidP="00C5653B">
      <w:pPr>
        <w:jc w:val="both"/>
        <w:rPr>
          <w:rFonts w:asciiTheme="minorHAnsi" w:hAnsiTheme="minorHAnsi" w:cstheme="minorHAnsi"/>
          <w:b/>
          <w:szCs w:val="20"/>
        </w:rPr>
      </w:pPr>
      <w:r w:rsidRPr="00E444A9">
        <w:rPr>
          <w:rFonts w:asciiTheme="minorHAnsi" w:hAnsiTheme="minorHAnsi" w:cstheme="minorHAnsi"/>
          <w:b/>
          <w:szCs w:val="20"/>
        </w:rPr>
        <w:t>Artículo 11.- Los sujetos obligados deberán, de oficio, poner a disposición del público, la siguiente información:</w:t>
      </w:r>
    </w:p>
    <w:p w:rsidR="00C5653B" w:rsidRPr="00E444A9" w:rsidRDefault="00C5653B" w:rsidP="00C5653B">
      <w:pPr>
        <w:jc w:val="both"/>
        <w:rPr>
          <w:rFonts w:asciiTheme="minorHAnsi" w:hAnsiTheme="minorHAnsi" w:cstheme="minorHAnsi"/>
          <w:b/>
          <w:szCs w:val="20"/>
        </w:rPr>
      </w:pPr>
      <w:r w:rsidRPr="00E444A9">
        <w:rPr>
          <w:rFonts w:asciiTheme="minorHAnsi" w:hAnsiTheme="minorHAnsi" w:cstheme="minorHAnsi"/>
          <w:b/>
          <w:szCs w:val="20"/>
        </w:rPr>
        <w:t>I.- Sus facultades y los indicadores de gestión utilizados para evaluar su desempeño, metas y objetivos de sus programas operativos;</w:t>
      </w:r>
    </w:p>
    <w:p w:rsidR="00C5653B" w:rsidRPr="00E444A9" w:rsidRDefault="00C5653B" w:rsidP="00C5653B">
      <w:pPr>
        <w:pStyle w:val="Prrafodelista"/>
        <w:numPr>
          <w:ilvl w:val="0"/>
          <w:numId w:val="26"/>
        </w:numPr>
        <w:jc w:val="both"/>
        <w:rPr>
          <w:rFonts w:asciiTheme="minorHAnsi" w:hAnsiTheme="minorHAnsi" w:cstheme="minorHAnsi"/>
          <w:b/>
          <w:szCs w:val="20"/>
        </w:rPr>
      </w:pPr>
      <w:r w:rsidRPr="00E444A9">
        <w:rPr>
          <w:rFonts w:asciiTheme="minorHAnsi" w:hAnsiTheme="minorHAnsi" w:cstheme="minorHAnsi"/>
          <w:szCs w:val="20"/>
        </w:rPr>
        <w:t xml:space="preserve">Se recomienda publicar información concerniente a los indicadores de gestión implementados para el ejercicio 2013, así como los avances de su medición. Cabe señalar que  Indicador de gestión es el parámetro de medición del desempeño representado por unidades, índices, cocientes o fórmulas que permiten establecer lo que se pretende lograr en un año expresado en términos de cobertura, eficiencia, eficacia, calidad, equidad o impacto económico, social o institucional y serán la base para el funcionamiento del Sistema de Evaluación del Desempeño,  conforme lo establecido en el artículo 75 de la Ley de Presupuesto y Ejercicio del Gasto Público del Estado de Baja California. Además, deberá publicarse la información que se remite al Congreso del Estado según el artículo 82 fracción I numeral 3 inciso c. </w:t>
      </w:r>
      <w:r w:rsidRPr="00E444A9">
        <w:rPr>
          <w:rFonts w:asciiTheme="minorHAnsi" w:hAnsiTheme="minorHAnsi" w:cstheme="minorHAnsi"/>
          <w:b/>
          <w:szCs w:val="20"/>
        </w:rPr>
        <w:t>NO ATENDIDA</w:t>
      </w:r>
    </w:p>
    <w:p w:rsidR="00C5653B" w:rsidRPr="00E444A9" w:rsidRDefault="00C5653B" w:rsidP="00C5653B">
      <w:pPr>
        <w:pStyle w:val="Prrafodelista"/>
        <w:numPr>
          <w:ilvl w:val="0"/>
          <w:numId w:val="26"/>
        </w:numPr>
        <w:jc w:val="both"/>
        <w:rPr>
          <w:rFonts w:asciiTheme="minorHAnsi" w:hAnsiTheme="minorHAnsi" w:cstheme="minorHAnsi"/>
          <w:b/>
          <w:szCs w:val="20"/>
        </w:rPr>
      </w:pPr>
      <w:r w:rsidRPr="00E444A9">
        <w:rPr>
          <w:rFonts w:asciiTheme="minorHAnsi" w:hAnsiTheme="minorHAnsi" w:cstheme="minorHAnsi"/>
          <w:szCs w:val="20"/>
        </w:rPr>
        <w:t xml:space="preserve">Con respecto a las metas y objetivos de sus programas operativos se recomienda publicar el  documento que sustenta el Presupuesto de Egresos de las Entidades y que convierte los lineamientos de la Planeación Estatal y Municipal económica y social, en objetivos, resultados y metas concretas, señalando responsables de cada programa, estableciendo indicadores para medir su costo, beneficios y tiempo para su ejecución (fracción XXV artículo 7 de la Ley de Fiscalización Superior de los Recursos Públicos para el Estado de Baja California y sus Municipios). </w:t>
      </w:r>
      <w:r w:rsidRPr="00E444A9">
        <w:rPr>
          <w:rFonts w:asciiTheme="minorHAnsi" w:hAnsiTheme="minorHAnsi" w:cstheme="minorHAnsi"/>
          <w:b/>
          <w:szCs w:val="20"/>
        </w:rPr>
        <w:t>NO ATENDIDA</w:t>
      </w:r>
    </w:p>
    <w:p w:rsidR="00C5653B" w:rsidRPr="00E444A9" w:rsidRDefault="00C5653B" w:rsidP="00C5653B">
      <w:pPr>
        <w:pStyle w:val="Prrafodelista"/>
        <w:ind w:left="1068"/>
        <w:jc w:val="both"/>
        <w:rPr>
          <w:rFonts w:asciiTheme="minorHAnsi" w:hAnsiTheme="minorHAnsi" w:cstheme="minorHAnsi"/>
          <w:b/>
          <w:szCs w:val="20"/>
        </w:rPr>
      </w:pPr>
    </w:p>
    <w:p w:rsidR="00C5653B" w:rsidRPr="00E444A9" w:rsidRDefault="00C5653B" w:rsidP="00C5653B">
      <w:pPr>
        <w:pStyle w:val="Prrafodelista"/>
        <w:ind w:left="1068"/>
        <w:jc w:val="both"/>
        <w:rPr>
          <w:rFonts w:asciiTheme="minorHAnsi" w:hAnsiTheme="minorHAnsi" w:cstheme="minorHAnsi"/>
          <w:b/>
          <w:szCs w:val="20"/>
        </w:rPr>
      </w:pPr>
    </w:p>
    <w:p w:rsidR="00C5653B" w:rsidRPr="00E444A9" w:rsidRDefault="00C5653B" w:rsidP="00C5653B">
      <w:pPr>
        <w:pStyle w:val="Prrafodelista"/>
        <w:ind w:left="1068"/>
        <w:jc w:val="both"/>
        <w:rPr>
          <w:rFonts w:asciiTheme="minorHAnsi" w:hAnsiTheme="minorHAnsi" w:cstheme="minorHAnsi"/>
          <w:b/>
          <w:szCs w:val="20"/>
        </w:rPr>
      </w:pPr>
    </w:p>
    <w:p w:rsidR="00C5653B" w:rsidRPr="00E444A9" w:rsidRDefault="00C5653B" w:rsidP="00C5653B">
      <w:pPr>
        <w:pStyle w:val="Prrafodelista"/>
        <w:ind w:left="1068"/>
        <w:jc w:val="both"/>
        <w:rPr>
          <w:rFonts w:asciiTheme="minorHAnsi" w:hAnsiTheme="minorHAnsi" w:cstheme="minorHAnsi"/>
          <w:b/>
          <w:szCs w:val="20"/>
        </w:rPr>
      </w:pPr>
    </w:p>
    <w:p w:rsidR="00C5653B" w:rsidRPr="00E444A9" w:rsidRDefault="00C5653B" w:rsidP="00C5653B">
      <w:pPr>
        <w:pStyle w:val="Prrafodelista"/>
        <w:ind w:left="1068"/>
        <w:jc w:val="both"/>
        <w:rPr>
          <w:rFonts w:asciiTheme="minorHAnsi" w:hAnsiTheme="minorHAnsi" w:cstheme="minorHAnsi"/>
          <w:b/>
          <w:szCs w:val="20"/>
        </w:rPr>
      </w:pPr>
    </w:p>
    <w:p w:rsidR="00C5653B" w:rsidRPr="00E444A9" w:rsidRDefault="00C5653B" w:rsidP="00C5653B">
      <w:pPr>
        <w:pStyle w:val="Sinespaciado"/>
        <w:jc w:val="both"/>
        <w:rPr>
          <w:rFonts w:asciiTheme="minorHAnsi" w:hAnsiTheme="minorHAnsi"/>
          <w:sz w:val="18"/>
        </w:rPr>
      </w:pPr>
      <w:r w:rsidRPr="00E444A9">
        <w:rPr>
          <w:rFonts w:asciiTheme="minorHAnsi" w:hAnsiTheme="minorHAnsi"/>
          <w:b/>
          <w:sz w:val="18"/>
        </w:rPr>
        <w:t>*NOTA</w:t>
      </w:r>
      <w:r w:rsidRPr="00E444A9">
        <w:rPr>
          <w:rFonts w:asciiTheme="minorHAnsi" w:hAnsiTheme="minorHAnsi"/>
          <w:sz w:val="18"/>
        </w:rPr>
        <w:t>: con base en la Guía  Referencial  de  criterios  para  la  Interpretación  y  Evaluación  de  la  Información  Pública  de Oficio señalada en el artículo 11 de la Ley de Transparencia y Acceso a la Información Pública para el Estado de Baja California</w:t>
      </w:r>
    </w:p>
    <w:p w:rsidR="00C5653B" w:rsidRPr="00E444A9" w:rsidRDefault="00C5653B" w:rsidP="00C5653B">
      <w:pPr>
        <w:jc w:val="both"/>
        <w:rPr>
          <w:rFonts w:asciiTheme="minorHAnsi" w:hAnsiTheme="minorHAnsi" w:cstheme="minorHAnsi"/>
          <w:b/>
          <w:szCs w:val="20"/>
        </w:rPr>
      </w:pPr>
      <w:r w:rsidRPr="00E444A9">
        <w:rPr>
          <w:rFonts w:asciiTheme="minorHAnsi" w:hAnsiTheme="minorHAnsi" w:cstheme="minorHAnsi"/>
          <w:b/>
          <w:szCs w:val="20"/>
        </w:rPr>
        <w:lastRenderedPageBreak/>
        <w:t>II.- Su estructura orgánica;</w:t>
      </w:r>
    </w:p>
    <w:p w:rsidR="00C5653B" w:rsidRPr="00E444A9" w:rsidRDefault="00C5653B" w:rsidP="00C5653B">
      <w:pPr>
        <w:pStyle w:val="Prrafodelista"/>
        <w:numPr>
          <w:ilvl w:val="0"/>
          <w:numId w:val="27"/>
        </w:numPr>
        <w:jc w:val="both"/>
        <w:rPr>
          <w:rFonts w:asciiTheme="minorHAnsi" w:hAnsiTheme="minorHAnsi" w:cstheme="minorHAnsi"/>
          <w:b/>
          <w:szCs w:val="20"/>
        </w:rPr>
      </w:pPr>
      <w:r w:rsidRPr="00E444A9">
        <w:rPr>
          <w:rFonts w:asciiTheme="minorHAnsi" w:hAnsiTheme="minorHAnsi" w:cstheme="minorHAnsi"/>
          <w:szCs w:val="20"/>
        </w:rPr>
        <w:t xml:space="preserve">Se recomienda </w:t>
      </w:r>
      <w:r w:rsidRPr="00E444A9">
        <w:rPr>
          <w:rFonts w:asciiTheme="minorHAnsi" w:hAnsiTheme="minorHAnsi"/>
        </w:rPr>
        <w:t>incluir en el organigrama publicado en primer lugar las áreas sustantivas y a continuación las de apoyo (hasta el nivel de jefe de departamento o su equivalente), siempre y cuando formen parte de la estructura orgánica autorizada e incluir la denominación completa de la unidad administrativa</w:t>
      </w:r>
      <w:r w:rsidRPr="00E444A9">
        <w:rPr>
          <w:rFonts w:asciiTheme="minorHAnsi" w:hAnsiTheme="minorHAnsi" w:cstheme="minorHAnsi"/>
          <w:szCs w:val="20"/>
        </w:rPr>
        <w:t>.</w:t>
      </w:r>
      <w:r w:rsidRPr="00E444A9">
        <w:rPr>
          <w:rFonts w:asciiTheme="minorHAnsi" w:hAnsiTheme="minorHAnsi" w:cstheme="minorHAnsi"/>
          <w:b/>
          <w:szCs w:val="20"/>
        </w:rPr>
        <w:t xml:space="preserve"> NO ATENDIDA</w:t>
      </w:r>
    </w:p>
    <w:p w:rsidR="00C5653B" w:rsidRPr="00E444A9" w:rsidRDefault="00C5653B" w:rsidP="00C5653B">
      <w:pPr>
        <w:pStyle w:val="Prrafodelista"/>
        <w:ind w:left="1068"/>
        <w:jc w:val="both"/>
        <w:rPr>
          <w:rFonts w:asciiTheme="minorHAnsi" w:hAnsiTheme="minorHAnsi" w:cstheme="minorHAnsi"/>
          <w:b/>
          <w:szCs w:val="20"/>
        </w:rPr>
      </w:pPr>
    </w:p>
    <w:p w:rsidR="00C5653B" w:rsidRPr="00E444A9" w:rsidRDefault="00C5653B" w:rsidP="00C5653B">
      <w:pPr>
        <w:jc w:val="both"/>
        <w:rPr>
          <w:rFonts w:asciiTheme="minorHAnsi" w:hAnsiTheme="minorHAnsi" w:cstheme="minorHAnsi"/>
          <w:b/>
          <w:szCs w:val="20"/>
        </w:rPr>
      </w:pPr>
      <w:r w:rsidRPr="00E444A9">
        <w:rPr>
          <w:rFonts w:asciiTheme="minorHAnsi" w:hAnsiTheme="minorHAnsi" w:cstheme="minorHAnsi"/>
          <w:b/>
          <w:szCs w:val="20"/>
        </w:rPr>
        <w:t>III.- La información curricular de los servidores públicos, desde el nivel de jefe de departamento o sus equivalentes hasta el nivel del funcionario de mayor jerarquía;</w:t>
      </w:r>
    </w:p>
    <w:p w:rsidR="00C5653B" w:rsidRPr="00E444A9" w:rsidRDefault="00C5653B" w:rsidP="00C5653B">
      <w:pPr>
        <w:pStyle w:val="Prrafodelista"/>
        <w:numPr>
          <w:ilvl w:val="0"/>
          <w:numId w:val="28"/>
        </w:numPr>
        <w:jc w:val="both"/>
        <w:rPr>
          <w:rFonts w:asciiTheme="minorHAnsi" w:hAnsiTheme="minorHAnsi" w:cstheme="minorHAnsi"/>
          <w:b/>
          <w:szCs w:val="20"/>
        </w:rPr>
      </w:pPr>
      <w:r w:rsidRPr="00E444A9">
        <w:rPr>
          <w:rFonts w:asciiTheme="minorHAnsi" w:hAnsiTheme="minorHAnsi" w:cstheme="minorHAnsi"/>
          <w:szCs w:val="20"/>
        </w:rPr>
        <w:t xml:space="preserve">Por lo que refiere a la información curricular, se deberá incorporar las versiones públicas de estos documentos para  la totalidad de los servidores públicos desde el nivel de Jefe de Departamento o sus equivalentes hasta el funcionario de mayor jerarquía. de tal manera que coincida con el número de servidores públicos que se reporta en la fracción VI. </w:t>
      </w:r>
      <w:r w:rsidRPr="00E444A9">
        <w:rPr>
          <w:rFonts w:asciiTheme="minorHAnsi" w:hAnsiTheme="minorHAnsi" w:cstheme="minorHAnsi"/>
          <w:b/>
          <w:szCs w:val="20"/>
        </w:rPr>
        <w:t>NO ATENDIDA</w:t>
      </w:r>
    </w:p>
    <w:p w:rsidR="00C5653B" w:rsidRPr="00E444A9" w:rsidRDefault="00C5653B" w:rsidP="00C5653B">
      <w:pPr>
        <w:pStyle w:val="Prrafodelista"/>
        <w:ind w:left="1068"/>
        <w:jc w:val="both"/>
        <w:rPr>
          <w:rFonts w:asciiTheme="minorHAnsi" w:hAnsiTheme="minorHAnsi" w:cstheme="minorHAnsi"/>
          <w:b/>
          <w:szCs w:val="20"/>
        </w:rPr>
      </w:pPr>
    </w:p>
    <w:p w:rsidR="00C5653B" w:rsidRPr="00E444A9" w:rsidRDefault="00C5653B" w:rsidP="00C5653B">
      <w:pPr>
        <w:pStyle w:val="Prrafodelista"/>
        <w:ind w:left="1068"/>
        <w:jc w:val="both"/>
        <w:rPr>
          <w:rFonts w:asciiTheme="minorHAnsi" w:hAnsiTheme="minorHAnsi" w:cstheme="minorHAnsi"/>
          <w:szCs w:val="20"/>
        </w:rPr>
      </w:pPr>
    </w:p>
    <w:p w:rsidR="00C5653B" w:rsidRPr="00E444A9" w:rsidRDefault="00C5653B" w:rsidP="00C5653B">
      <w:pPr>
        <w:jc w:val="both"/>
        <w:rPr>
          <w:rFonts w:asciiTheme="minorHAnsi" w:hAnsiTheme="minorHAnsi" w:cstheme="minorHAnsi"/>
          <w:b/>
          <w:szCs w:val="20"/>
        </w:rPr>
      </w:pPr>
      <w:r w:rsidRPr="00E444A9">
        <w:rPr>
          <w:rFonts w:asciiTheme="minorHAnsi" w:hAnsiTheme="minorHAnsi" w:cstheme="minorHAnsi"/>
          <w:b/>
          <w:szCs w:val="20"/>
        </w:rPr>
        <w:t>IV.- Los servicios que ofrecen, los trámites, requisitos y formatos y, en su caso, el monto de los derechos para acceder a los mismos;</w:t>
      </w:r>
    </w:p>
    <w:p w:rsidR="00C5653B" w:rsidRPr="00E444A9" w:rsidRDefault="00C5653B" w:rsidP="00C5653B">
      <w:pPr>
        <w:pStyle w:val="Prrafodelista"/>
        <w:numPr>
          <w:ilvl w:val="0"/>
          <w:numId w:val="29"/>
        </w:numPr>
        <w:jc w:val="both"/>
        <w:rPr>
          <w:rFonts w:asciiTheme="minorHAnsi" w:hAnsiTheme="minorHAnsi" w:cstheme="minorHAnsi"/>
          <w:szCs w:val="20"/>
        </w:rPr>
      </w:pPr>
      <w:r w:rsidRPr="00E444A9">
        <w:rPr>
          <w:rFonts w:asciiTheme="minorHAnsi" w:hAnsiTheme="minorHAnsi" w:cstheme="minorHAnsi"/>
        </w:rPr>
        <w:t xml:space="preserve">Se recomienda incorporar para cada uno de los servicios publicados el horario de atención de las Unidades Administrativas que prestan los servicios. </w:t>
      </w:r>
      <w:r w:rsidRPr="00E444A9">
        <w:rPr>
          <w:rFonts w:asciiTheme="minorHAnsi" w:hAnsiTheme="minorHAnsi" w:cstheme="minorHAnsi"/>
          <w:b/>
          <w:szCs w:val="20"/>
        </w:rPr>
        <w:t>ATENDIDA</w:t>
      </w:r>
    </w:p>
    <w:p w:rsidR="00C5653B" w:rsidRPr="00E444A9" w:rsidRDefault="00C5653B" w:rsidP="00C5653B">
      <w:pPr>
        <w:pStyle w:val="Prrafodelista"/>
        <w:ind w:left="1068"/>
        <w:jc w:val="both"/>
        <w:rPr>
          <w:rFonts w:asciiTheme="minorHAnsi" w:hAnsiTheme="minorHAnsi" w:cstheme="minorHAnsi"/>
          <w:szCs w:val="20"/>
        </w:rPr>
      </w:pPr>
    </w:p>
    <w:p w:rsidR="00C5653B" w:rsidRPr="00E444A9" w:rsidRDefault="00C5653B" w:rsidP="00C5653B">
      <w:pPr>
        <w:jc w:val="both"/>
        <w:rPr>
          <w:rFonts w:asciiTheme="minorHAnsi" w:hAnsiTheme="minorHAnsi" w:cstheme="minorHAnsi"/>
          <w:b/>
          <w:szCs w:val="20"/>
        </w:rPr>
      </w:pPr>
      <w:r w:rsidRPr="00E444A9">
        <w:rPr>
          <w:rFonts w:asciiTheme="minorHAnsi" w:hAnsiTheme="minorHAnsi" w:cstheme="minorHAnsi"/>
          <w:b/>
          <w:szCs w:val="20"/>
        </w:rPr>
        <w:t>V.- Los informes de acceso a la información, que contengan cuando menos:</w:t>
      </w:r>
    </w:p>
    <w:p w:rsidR="00C5653B" w:rsidRPr="00E444A9" w:rsidRDefault="00C5653B" w:rsidP="00C5653B">
      <w:pPr>
        <w:jc w:val="both"/>
        <w:rPr>
          <w:rFonts w:asciiTheme="minorHAnsi" w:hAnsiTheme="minorHAnsi" w:cstheme="minorHAnsi"/>
          <w:b/>
          <w:szCs w:val="20"/>
        </w:rPr>
      </w:pPr>
      <w:r w:rsidRPr="00E444A9">
        <w:rPr>
          <w:rFonts w:asciiTheme="minorHAnsi" w:hAnsiTheme="minorHAnsi" w:cstheme="minorHAnsi"/>
          <w:b/>
          <w:szCs w:val="20"/>
        </w:rPr>
        <w:t>a).- Número de solicitudes de información que les han sido presentadas;</w:t>
      </w:r>
    </w:p>
    <w:p w:rsidR="00C5653B" w:rsidRPr="00E444A9" w:rsidRDefault="00C5653B" w:rsidP="00C5653B">
      <w:pPr>
        <w:jc w:val="both"/>
        <w:rPr>
          <w:rFonts w:asciiTheme="minorHAnsi" w:hAnsiTheme="minorHAnsi" w:cstheme="minorHAnsi"/>
          <w:b/>
          <w:szCs w:val="20"/>
        </w:rPr>
      </w:pPr>
      <w:r w:rsidRPr="00E444A9">
        <w:rPr>
          <w:rFonts w:asciiTheme="minorHAnsi" w:hAnsiTheme="minorHAnsi" w:cstheme="minorHAnsi"/>
          <w:b/>
          <w:szCs w:val="20"/>
        </w:rPr>
        <w:t>b).- Objeto de las solicitudes;</w:t>
      </w:r>
    </w:p>
    <w:p w:rsidR="00C5653B" w:rsidRPr="00E444A9" w:rsidRDefault="00C5653B" w:rsidP="00C5653B">
      <w:pPr>
        <w:jc w:val="both"/>
        <w:rPr>
          <w:rFonts w:asciiTheme="minorHAnsi" w:hAnsiTheme="minorHAnsi" w:cstheme="minorHAnsi"/>
          <w:b/>
          <w:szCs w:val="20"/>
        </w:rPr>
      </w:pPr>
      <w:r w:rsidRPr="00E444A9">
        <w:rPr>
          <w:rFonts w:asciiTheme="minorHAnsi" w:hAnsiTheme="minorHAnsi" w:cstheme="minorHAnsi"/>
          <w:b/>
          <w:szCs w:val="20"/>
        </w:rPr>
        <w:t>c).- Solicitudes procesadas y respondidas, así como el número de aquellas que se encuentren pendientes; y</w:t>
      </w:r>
    </w:p>
    <w:p w:rsidR="00C5653B" w:rsidRPr="00E444A9" w:rsidRDefault="00C5653B" w:rsidP="00C5653B">
      <w:pPr>
        <w:jc w:val="both"/>
        <w:rPr>
          <w:rFonts w:asciiTheme="minorHAnsi" w:hAnsiTheme="minorHAnsi" w:cstheme="minorHAnsi"/>
          <w:b/>
          <w:szCs w:val="20"/>
        </w:rPr>
      </w:pPr>
      <w:r w:rsidRPr="00E444A9">
        <w:rPr>
          <w:rFonts w:asciiTheme="minorHAnsi" w:hAnsiTheme="minorHAnsi" w:cstheme="minorHAnsi"/>
          <w:b/>
          <w:szCs w:val="20"/>
        </w:rPr>
        <w:t>d).- Las solicitudes que hayan sido denegadas y los fundamentos por lo que fueron desechadas.</w:t>
      </w:r>
    </w:p>
    <w:p w:rsidR="00C5653B" w:rsidRPr="00E444A9" w:rsidRDefault="00C5653B" w:rsidP="00C5653B">
      <w:pPr>
        <w:jc w:val="both"/>
        <w:rPr>
          <w:rFonts w:asciiTheme="minorHAnsi" w:hAnsiTheme="minorHAnsi" w:cstheme="minorHAnsi"/>
          <w:szCs w:val="20"/>
        </w:rPr>
      </w:pPr>
      <w:r w:rsidRPr="00E444A9">
        <w:rPr>
          <w:rFonts w:asciiTheme="minorHAnsi" w:hAnsiTheme="minorHAnsi" w:cstheme="minorHAnsi"/>
          <w:szCs w:val="20"/>
        </w:rPr>
        <w:tab/>
        <w:t>No se emiten recomendaciones con respecto a esta fracción.</w:t>
      </w:r>
    </w:p>
    <w:p w:rsidR="00C5653B" w:rsidRPr="00E444A9" w:rsidRDefault="00C5653B" w:rsidP="00C5653B">
      <w:pPr>
        <w:jc w:val="both"/>
        <w:rPr>
          <w:rFonts w:asciiTheme="minorHAnsi" w:hAnsiTheme="minorHAnsi" w:cstheme="minorHAnsi"/>
          <w:szCs w:val="20"/>
        </w:rPr>
      </w:pPr>
    </w:p>
    <w:p w:rsidR="00C5653B" w:rsidRPr="00E444A9" w:rsidRDefault="00C5653B" w:rsidP="00C5653B">
      <w:pPr>
        <w:jc w:val="both"/>
        <w:rPr>
          <w:rFonts w:asciiTheme="minorHAnsi" w:hAnsiTheme="minorHAnsi" w:cstheme="minorHAnsi"/>
          <w:szCs w:val="20"/>
        </w:rPr>
      </w:pPr>
    </w:p>
    <w:p w:rsidR="00C5653B" w:rsidRPr="00E444A9" w:rsidRDefault="00C5653B" w:rsidP="00C5653B">
      <w:pPr>
        <w:jc w:val="both"/>
        <w:rPr>
          <w:rFonts w:asciiTheme="minorHAnsi" w:hAnsiTheme="minorHAnsi" w:cstheme="minorHAnsi"/>
          <w:b/>
          <w:szCs w:val="20"/>
        </w:rPr>
      </w:pPr>
      <w:r w:rsidRPr="00E444A9">
        <w:rPr>
          <w:rFonts w:asciiTheme="minorHAnsi" w:hAnsiTheme="minorHAnsi" w:cstheme="minorHAnsi"/>
          <w:b/>
          <w:szCs w:val="20"/>
        </w:rPr>
        <w:lastRenderedPageBreak/>
        <w:t>VI.- El directorio de servidores públicos, desde el nivel de jefe de departamento o sus equivalentes, hasta el nivel del funcionario de mayor jerarquía. En el caso de los funcionarios jurisdiccionales, deberá incluir desde el nivel de actuario o equivalente.</w:t>
      </w:r>
    </w:p>
    <w:p w:rsidR="00C5653B" w:rsidRPr="00E444A9" w:rsidRDefault="00C5653B" w:rsidP="00C5653B">
      <w:pPr>
        <w:pStyle w:val="Prrafodelista"/>
        <w:numPr>
          <w:ilvl w:val="0"/>
          <w:numId w:val="30"/>
        </w:numPr>
        <w:jc w:val="both"/>
        <w:rPr>
          <w:rFonts w:asciiTheme="minorHAnsi" w:hAnsiTheme="minorHAnsi"/>
          <w:szCs w:val="23"/>
        </w:rPr>
      </w:pPr>
      <w:bookmarkStart w:id="0" w:name="_GoBack"/>
      <w:r w:rsidRPr="00E444A9">
        <w:rPr>
          <w:rFonts w:asciiTheme="minorHAnsi" w:hAnsiTheme="minorHAnsi"/>
          <w:szCs w:val="23"/>
        </w:rPr>
        <w:t xml:space="preserve">Se recomienda publicar información de la totalidad de los servidores públicos hasta el nivel de jefe de departamento, toda vez que se detectó que para el caso de </w:t>
      </w:r>
      <w:r w:rsidR="00B610C2" w:rsidRPr="00E444A9">
        <w:t xml:space="preserve">Instituto de Opinión Ciudadana, Estudios Económicos y Sociales </w:t>
      </w:r>
      <w:r w:rsidRPr="00E444A9">
        <w:rPr>
          <w:rFonts w:asciiTheme="minorHAnsi" w:hAnsiTheme="minorHAnsi"/>
          <w:szCs w:val="23"/>
        </w:rPr>
        <w:t>solo se e</w:t>
      </w:r>
      <w:r w:rsidR="007A358B" w:rsidRPr="00E444A9">
        <w:rPr>
          <w:rFonts w:asciiTheme="minorHAnsi" w:hAnsiTheme="minorHAnsi"/>
          <w:szCs w:val="23"/>
        </w:rPr>
        <w:t xml:space="preserve">ncuentran publicados </w:t>
      </w:r>
      <w:r w:rsidR="008045A8" w:rsidRPr="00E444A9">
        <w:rPr>
          <w:rFonts w:asciiTheme="minorHAnsi" w:hAnsiTheme="minorHAnsi"/>
          <w:szCs w:val="23"/>
        </w:rPr>
        <w:t>datos del</w:t>
      </w:r>
      <w:r w:rsidRPr="00E444A9">
        <w:rPr>
          <w:rFonts w:asciiTheme="minorHAnsi" w:hAnsiTheme="minorHAnsi"/>
          <w:szCs w:val="23"/>
        </w:rPr>
        <w:t xml:space="preserve"> director.</w:t>
      </w:r>
      <w:r w:rsidRPr="00E444A9">
        <w:rPr>
          <w:rFonts w:asciiTheme="minorHAnsi" w:hAnsiTheme="minorHAnsi" w:cstheme="minorHAnsi"/>
          <w:b/>
          <w:szCs w:val="20"/>
        </w:rPr>
        <w:t xml:space="preserve"> NO ATENDIDA</w:t>
      </w:r>
    </w:p>
    <w:p w:rsidR="00C5653B" w:rsidRPr="00E444A9" w:rsidRDefault="00C5653B" w:rsidP="00C5653B">
      <w:pPr>
        <w:pStyle w:val="Prrafodelista"/>
        <w:numPr>
          <w:ilvl w:val="0"/>
          <w:numId w:val="30"/>
        </w:numPr>
        <w:jc w:val="both"/>
        <w:rPr>
          <w:rFonts w:asciiTheme="minorHAnsi" w:hAnsiTheme="minorHAnsi" w:cstheme="minorHAnsi"/>
        </w:rPr>
      </w:pPr>
      <w:r w:rsidRPr="00E444A9">
        <w:rPr>
          <w:rFonts w:asciiTheme="minorHAnsi" w:hAnsiTheme="minorHAnsi" w:cstheme="minorHAnsi"/>
        </w:rPr>
        <w:t>Se recomienda actualizar la fracción de acuerdo al plazo señalado en la fracción II del artículo 12 de la Ley de Transparencia y Acceso a la Información Pública para el Estado de Baja California.</w:t>
      </w:r>
      <w:r w:rsidRPr="00E444A9">
        <w:rPr>
          <w:rFonts w:asciiTheme="minorHAnsi" w:hAnsiTheme="minorHAnsi" w:cstheme="minorHAnsi"/>
          <w:b/>
          <w:szCs w:val="20"/>
        </w:rPr>
        <w:t xml:space="preserve"> ATENDIDA</w:t>
      </w:r>
    </w:p>
    <w:p w:rsidR="00C5653B" w:rsidRPr="00E444A9" w:rsidRDefault="00C5653B" w:rsidP="00C5653B">
      <w:pPr>
        <w:pStyle w:val="Prrafodelista"/>
        <w:ind w:left="1146"/>
        <w:jc w:val="both"/>
        <w:rPr>
          <w:rFonts w:asciiTheme="minorHAnsi" w:hAnsiTheme="minorHAnsi"/>
          <w:szCs w:val="23"/>
        </w:rPr>
      </w:pPr>
    </w:p>
    <w:bookmarkEnd w:id="0"/>
    <w:p w:rsidR="00C5653B" w:rsidRPr="00E444A9" w:rsidRDefault="00C5653B" w:rsidP="00C5653B">
      <w:pPr>
        <w:jc w:val="both"/>
        <w:rPr>
          <w:rFonts w:asciiTheme="minorHAnsi" w:hAnsiTheme="minorHAnsi" w:cstheme="minorHAnsi"/>
          <w:b/>
          <w:szCs w:val="20"/>
        </w:rPr>
      </w:pPr>
      <w:r w:rsidRPr="00E444A9">
        <w:rPr>
          <w:rFonts w:asciiTheme="minorHAnsi" w:hAnsiTheme="minorHAnsi" w:cstheme="minorHAnsi"/>
          <w:b/>
          <w:szCs w:val="20"/>
        </w:rPr>
        <w:t>VII.- Plantilla del personal indicando el nombre, puesto, adscripción, remuneración mensual que considere prestaciones, estímulos o compensaciones y cualquier otra percepción en dinero o en especie, de todos los servidores públicos de los sujetos obligados, incluyendo a sus titulares;</w:t>
      </w:r>
    </w:p>
    <w:p w:rsidR="00C5653B" w:rsidRPr="00E444A9" w:rsidRDefault="00C5653B" w:rsidP="00C5653B">
      <w:pPr>
        <w:pStyle w:val="Prrafodelista"/>
        <w:numPr>
          <w:ilvl w:val="0"/>
          <w:numId w:val="31"/>
        </w:numPr>
        <w:jc w:val="both"/>
        <w:rPr>
          <w:rFonts w:asciiTheme="minorHAnsi" w:hAnsiTheme="minorHAnsi" w:cstheme="minorHAnsi"/>
          <w:szCs w:val="20"/>
        </w:rPr>
      </w:pPr>
      <w:r w:rsidRPr="00E444A9">
        <w:rPr>
          <w:rFonts w:asciiTheme="minorHAnsi" w:hAnsiTheme="minorHAnsi" w:cstheme="minorHAnsi"/>
          <w:szCs w:val="20"/>
        </w:rPr>
        <w:t xml:space="preserve">Con respecto a la remuneración mensual publicada se recomienda desglosar  cualquier deducción, percepción, prestación y compensación en dinero o en especie que reciban con respecto al ejercicio de sus funciones. </w:t>
      </w:r>
      <w:r w:rsidRPr="00E444A9">
        <w:rPr>
          <w:rFonts w:asciiTheme="minorHAnsi" w:hAnsiTheme="minorHAnsi" w:cstheme="minorHAnsi"/>
          <w:b/>
          <w:szCs w:val="20"/>
        </w:rPr>
        <w:t>NO ATENDIDA</w:t>
      </w:r>
    </w:p>
    <w:p w:rsidR="00C5653B" w:rsidRPr="00E444A9" w:rsidRDefault="00C5653B" w:rsidP="00C5653B">
      <w:pPr>
        <w:pStyle w:val="Prrafodelista"/>
        <w:numPr>
          <w:ilvl w:val="0"/>
          <w:numId w:val="31"/>
        </w:numPr>
        <w:jc w:val="both"/>
        <w:rPr>
          <w:rFonts w:asciiTheme="minorHAnsi" w:hAnsiTheme="minorHAnsi" w:cstheme="minorHAnsi"/>
          <w:szCs w:val="20"/>
        </w:rPr>
      </w:pPr>
      <w:r w:rsidRPr="00E444A9">
        <w:rPr>
          <w:rFonts w:asciiTheme="minorHAnsi" w:hAnsiTheme="minorHAnsi" w:cstheme="minorHAnsi"/>
          <w:szCs w:val="20"/>
        </w:rPr>
        <w:t xml:space="preserve">De igual forma se omite publicar información referente a la ciudad de adscripción de los servidores públicos. </w:t>
      </w:r>
      <w:r w:rsidRPr="00E444A9">
        <w:rPr>
          <w:rFonts w:asciiTheme="minorHAnsi" w:hAnsiTheme="minorHAnsi" w:cstheme="minorHAnsi"/>
          <w:b/>
          <w:szCs w:val="20"/>
        </w:rPr>
        <w:t>ATENDIDA</w:t>
      </w:r>
    </w:p>
    <w:p w:rsidR="00C5653B" w:rsidRPr="00E444A9" w:rsidRDefault="00C5653B" w:rsidP="00C5653B">
      <w:pPr>
        <w:pStyle w:val="Prrafodelista"/>
        <w:ind w:left="1068"/>
        <w:jc w:val="both"/>
        <w:rPr>
          <w:rFonts w:asciiTheme="minorHAnsi" w:hAnsiTheme="minorHAnsi" w:cstheme="minorHAnsi"/>
          <w:szCs w:val="20"/>
        </w:rPr>
      </w:pPr>
    </w:p>
    <w:p w:rsidR="00C5653B" w:rsidRPr="00E444A9" w:rsidRDefault="00C5653B" w:rsidP="00C5653B">
      <w:pPr>
        <w:jc w:val="both"/>
        <w:rPr>
          <w:rFonts w:asciiTheme="minorHAnsi" w:hAnsiTheme="minorHAnsi" w:cstheme="minorHAnsi"/>
          <w:b/>
          <w:szCs w:val="20"/>
        </w:rPr>
      </w:pPr>
      <w:r w:rsidRPr="00E444A9">
        <w:rPr>
          <w:rFonts w:asciiTheme="minorHAnsi" w:hAnsiTheme="minorHAnsi" w:cstheme="minorHAnsi"/>
          <w:b/>
          <w:szCs w:val="20"/>
        </w:rPr>
        <w:t>VIII.- Respecto del presupuesto de egresos  aprobado, por programas, grupos y partidas de gastos, y los informes sobre su ejecución; así como de la situación financiera y en su caso, respecto a la deuda pública;</w:t>
      </w:r>
    </w:p>
    <w:p w:rsidR="00C5653B" w:rsidRPr="00E444A9" w:rsidRDefault="00C5653B" w:rsidP="00C5653B">
      <w:pPr>
        <w:pStyle w:val="Prrafodelista"/>
        <w:numPr>
          <w:ilvl w:val="0"/>
          <w:numId w:val="32"/>
        </w:numPr>
        <w:jc w:val="both"/>
        <w:rPr>
          <w:rFonts w:asciiTheme="minorHAnsi" w:hAnsiTheme="minorHAnsi" w:cstheme="minorHAnsi"/>
          <w:szCs w:val="20"/>
        </w:rPr>
      </w:pPr>
      <w:r w:rsidRPr="00E444A9">
        <w:rPr>
          <w:rFonts w:asciiTheme="minorHAnsi" w:hAnsiTheme="minorHAnsi" w:cstheme="minorHAnsi"/>
          <w:szCs w:val="20"/>
        </w:rPr>
        <w:t>Se recomienda publicar información del Presupuesto de Egresos, por programas correspondiente al ejercicio 2014, toda vez que la versión publicada no contempla el primer rubro.</w:t>
      </w:r>
      <w:r w:rsidRPr="00E444A9">
        <w:rPr>
          <w:rFonts w:asciiTheme="minorHAnsi" w:hAnsiTheme="minorHAnsi" w:cstheme="minorHAnsi"/>
          <w:b/>
          <w:szCs w:val="20"/>
        </w:rPr>
        <w:t xml:space="preserve"> NO ATENDIDA</w:t>
      </w:r>
    </w:p>
    <w:p w:rsidR="00C5653B" w:rsidRPr="00E444A9" w:rsidRDefault="00C5653B" w:rsidP="00C5653B">
      <w:pPr>
        <w:pStyle w:val="Prrafodelista"/>
        <w:numPr>
          <w:ilvl w:val="0"/>
          <w:numId w:val="32"/>
        </w:numPr>
        <w:jc w:val="both"/>
        <w:rPr>
          <w:rFonts w:asciiTheme="minorHAnsi" w:hAnsiTheme="minorHAnsi" w:cstheme="minorHAnsi"/>
          <w:b/>
          <w:szCs w:val="20"/>
        </w:rPr>
      </w:pPr>
      <w:r w:rsidRPr="00E444A9">
        <w:rPr>
          <w:rFonts w:asciiTheme="minorHAnsi" w:hAnsiTheme="minorHAnsi" w:cstheme="minorHAnsi"/>
          <w:szCs w:val="20"/>
        </w:rPr>
        <w:t>Se recomienda publicar los informes de su ejecución los cuales equiva</w:t>
      </w:r>
      <w:r w:rsidRPr="00E444A9">
        <w:rPr>
          <w:rFonts w:asciiTheme="minorHAnsi" w:hAnsiTheme="minorHAnsi"/>
        </w:rPr>
        <w:t>len a los  informes de avance de gestión financiera que señalan los artículos 9 y 16 de la Ley de Fiscalización Superior de los Recursos Públicos para el Estado de Baja California y sus Municipios, por lo que deberán de contener al menos la información señalada en dichos artículos. La información deberá clasificarse por rubros y en cada uno de ellos señalar el vínculo al documento íntegro.</w:t>
      </w:r>
      <w:r w:rsidRPr="00E444A9">
        <w:rPr>
          <w:rFonts w:asciiTheme="minorHAnsi" w:hAnsiTheme="minorHAnsi" w:cstheme="minorHAnsi"/>
          <w:b/>
          <w:szCs w:val="20"/>
        </w:rPr>
        <w:t xml:space="preserve"> NO ATENDIDA</w:t>
      </w:r>
    </w:p>
    <w:p w:rsidR="00C5653B" w:rsidRPr="00E444A9" w:rsidRDefault="00C5653B" w:rsidP="00C5653B">
      <w:pPr>
        <w:pStyle w:val="Prrafodelista"/>
        <w:ind w:left="1068"/>
        <w:jc w:val="both"/>
        <w:rPr>
          <w:rFonts w:asciiTheme="minorHAnsi" w:hAnsiTheme="minorHAnsi" w:cstheme="minorHAnsi"/>
          <w:b/>
          <w:szCs w:val="20"/>
        </w:rPr>
      </w:pPr>
    </w:p>
    <w:p w:rsidR="00C5653B" w:rsidRPr="00E444A9" w:rsidRDefault="00C5653B" w:rsidP="00C5653B">
      <w:pPr>
        <w:pStyle w:val="Prrafodelista"/>
        <w:ind w:left="1068"/>
        <w:jc w:val="both"/>
        <w:rPr>
          <w:rFonts w:asciiTheme="minorHAnsi" w:hAnsiTheme="minorHAnsi" w:cstheme="minorHAnsi"/>
          <w:b/>
          <w:szCs w:val="20"/>
        </w:rPr>
      </w:pPr>
    </w:p>
    <w:p w:rsidR="00C5653B" w:rsidRPr="00E444A9" w:rsidRDefault="00C5653B" w:rsidP="00C5653B">
      <w:pPr>
        <w:jc w:val="both"/>
        <w:rPr>
          <w:rFonts w:asciiTheme="minorHAnsi" w:hAnsiTheme="minorHAnsi" w:cstheme="minorHAnsi"/>
          <w:b/>
          <w:szCs w:val="20"/>
        </w:rPr>
      </w:pPr>
      <w:r w:rsidRPr="00E444A9">
        <w:rPr>
          <w:rFonts w:asciiTheme="minorHAnsi" w:hAnsiTheme="minorHAnsi" w:cstheme="minorHAnsi"/>
          <w:b/>
          <w:szCs w:val="20"/>
        </w:rPr>
        <w:lastRenderedPageBreak/>
        <w:t>IX.- Las enajenaciones de bienes que realicen por cualquier título o acto, indicando los motivos, beneficiarios o adquirientes, y los montos de las operaciones;</w:t>
      </w:r>
    </w:p>
    <w:p w:rsidR="00C5653B" w:rsidRPr="00E444A9" w:rsidRDefault="00C5653B" w:rsidP="00C5653B">
      <w:pPr>
        <w:jc w:val="both"/>
        <w:rPr>
          <w:rFonts w:asciiTheme="minorHAnsi" w:hAnsiTheme="minorHAnsi" w:cstheme="minorHAnsi"/>
          <w:szCs w:val="20"/>
        </w:rPr>
      </w:pPr>
      <w:r w:rsidRPr="00E444A9">
        <w:rPr>
          <w:rFonts w:asciiTheme="minorHAnsi" w:hAnsiTheme="minorHAnsi" w:cstheme="minorHAnsi"/>
          <w:szCs w:val="20"/>
        </w:rPr>
        <w:t>No se emiten recomendaciones con respecto a esta fracción.</w:t>
      </w:r>
    </w:p>
    <w:p w:rsidR="00C5653B" w:rsidRPr="00E444A9" w:rsidRDefault="00C5653B" w:rsidP="00C5653B">
      <w:pPr>
        <w:jc w:val="both"/>
        <w:rPr>
          <w:rFonts w:asciiTheme="minorHAnsi" w:hAnsiTheme="minorHAnsi" w:cstheme="minorHAnsi"/>
          <w:szCs w:val="20"/>
        </w:rPr>
      </w:pPr>
    </w:p>
    <w:p w:rsidR="00C5653B" w:rsidRPr="00E444A9" w:rsidRDefault="00C5653B" w:rsidP="00C5653B">
      <w:pPr>
        <w:jc w:val="both"/>
        <w:rPr>
          <w:rFonts w:asciiTheme="minorHAnsi" w:hAnsiTheme="minorHAnsi" w:cstheme="minorHAnsi"/>
          <w:b/>
          <w:szCs w:val="20"/>
        </w:rPr>
      </w:pPr>
      <w:r w:rsidRPr="00E444A9">
        <w:rPr>
          <w:rFonts w:asciiTheme="minorHAnsi" w:hAnsiTheme="minorHAnsi" w:cstheme="minorHAnsi"/>
          <w:b/>
          <w:szCs w:val="20"/>
        </w:rPr>
        <w:t>X.- Los permisos, concesiones y autorizaciones otorgadas, especificando sus titulares, concepto y vigencia;</w:t>
      </w:r>
    </w:p>
    <w:p w:rsidR="00C5653B" w:rsidRPr="00E444A9" w:rsidRDefault="00C5653B" w:rsidP="00C5653B">
      <w:pPr>
        <w:jc w:val="both"/>
        <w:rPr>
          <w:rFonts w:asciiTheme="minorHAnsi" w:hAnsiTheme="minorHAnsi" w:cstheme="minorHAnsi"/>
          <w:szCs w:val="20"/>
        </w:rPr>
      </w:pPr>
      <w:r w:rsidRPr="00E444A9">
        <w:rPr>
          <w:rFonts w:asciiTheme="minorHAnsi" w:hAnsiTheme="minorHAnsi" w:cstheme="minorHAnsi"/>
          <w:szCs w:val="20"/>
        </w:rPr>
        <w:t>No se emiten recomendaciones con respecto a esta fracción.</w:t>
      </w:r>
    </w:p>
    <w:p w:rsidR="00C5653B" w:rsidRPr="00E444A9" w:rsidRDefault="00C5653B" w:rsidP="00C5653B">
      <w:pPr>
        <w:jc w:val="both"/>
        <w:rPr>
          <w:rFonts w:asciiTheme="minorHAnsi" w:hAnsiTheme="minorHAnsi" w:cstheme="minorHAnsi"/>
          <w:szCs w:val="20"/>
        </w:rPr>
      </w:pPr>
    </w:p>
    <w:p w:rsidR="00C5653B" w:rsidRPr="00E444A9" w:rsidRDefault="00C5653B" w:rsidP="00C5653B">
      <w:pPr>
        <w:jc w:val="both"/>
        <w:rPr>
          <w:rFonts w:asciiTheme="minorHAnsi" w:hAnsiTheme="minorHAnsi" w:cstheme="minorHAnsi"/>
          <w:b/>
          <w:szCs w:val="20"/>
        </w:rPr>
      </w:pPr>
      <w:r w:rsidRPr="00E444A9">
        <w:rPr>
          <w:rFonts w:asciiTheme="minorHAnsi" w:hAnsiTheme="minorHAnsi" w:cstheme="minorHAnsi"/>
          <w:b/>
          <w:szCs w:val="20"/>
        </w:rPr>
        <w:t>XI.- Los convenios celebrados con instituciones públicas o privadas;</w:t>
      </w:r>
    </w:p>
    <w:p w:rsidR="00C5653B" w:rsidRPr="00E444A9" w:rsidRDefault="00C5653B" w:rsidP="00C5653B">
      <w:pPr>
        <w:jc w:val="both"/>
        <w:rPr>
          <w:rFonts w:asciiTheme="minorHAnsi" w:hAnsiTheme="minorHAnsi" w:cstheme="minorHAnsi"/>
          <w:szCs w:val="20"/>
        </w:rPr>
      </w:pPr>
      <w:r w:rsidRPr="00E444A9">
        <w:rPr>
          <w:rFonts w:asciiTheme="minorHAnsi" w:hAnsiTheme="minorHAnsi" w:cstheme="minorHAnsi"/>
          <w:szCs w:val="20"/>
        </w:rPr>
        <w:t>No se emiten recomendaciones con respecto a esta fracción.</w:t>
      </w:r>
    </w:p>
    <w:p w:rsidR="00C5653B" w:rsidRPr="00E444A9" w:rsidRDefault="00C5653B" w:rsidP="00C5653B">
      <w:pPr>
        <w:jc w:val="both"/>
        <w:rPr>
          <w:rFonts w:asciiTheme="minorHAnsi" w:hAnsiTheme="minorHAnsi" w:cstheme="minorHAnsi"/>
          <w:szCs w:val="20"/>
        </w:rPr>
      </w:pPr>
    </w:p>
    <w:p w:rsidR="00C5653B" w:rsidRPr="00E444A9" w:rsidRDefault="00C5653B" w:rsidP="00C5653B">
      <w:pPr>
        <w:jc w:val="both"/>
        <w:rPr>
          <w:rFonts w:asciiTheme="minorHAnsi" w:hAnsiTheme="minorHAnsi" w:cstheme="minorHAnsi"/>
          <w:b/>
          <w:szCs w:val="20"/>
        </w:rPr>
      </w:pPr>
      <w:r w:rsidRPr="00E444A9">
        <w:rPr>
          <w:rFonts w:asciiTheme="minorHAnsi" w:hAnsiTheme="minorHAnsi" w:cstheme="minorHAnsi"/>
          <w:b/>
          <w:szCs w:val="20"/>
        </w:rPr>
        <w:t>XII.- El padrón de proveedores;</w:t>
      </w:r>
    </w:p>
    <w:p w:rsidR="00C5653B" w:rsidRPr="00E444A9" w:rsidRDefault="00C5653B" w:rsidP="00C5653B">
      <w:pPr>
        <w:jc w:val="both"/>
        <w:rPr>
          <w:rFonts w:asciiTheme="minorHAnsi" w:hAnsiTheme="minorHAnsi" w:cstheme="minorHAnsi"/>
          <w:szCs w:val="20"/>
        </w:rPr>
      </w:pPr>
      <w:r w:rsidRPr="00E444A9">
        <w:rPr>
          <w:rFonts w:asciiTheme="minorHAnsi" w:hAnsiTheme="minorHAnsi" w:cstheme="minorHAnsi"/>
          <w:szCs w:val="20"/>
        </w:rPr>
        <w:t>No se emiten recomendaciones con respecto a esta fracción.</w:t>
      </w:r>
    </w:p>
    <w:p w:rsidR="00C5653B" w:rsidRPr="00E444A9" w:rsidRDefault="00C5653B" w:rsidP="00C5653B">
      <w:pPr>
        <w:jc w:val="both"/>
        <w:rPr>
          <w:rFonts w:asciiTheme="minorHAnsi" w:hAnsiTheme="minorHAnsi" w:cstheme="minorHAnsi"/>
          <w:szCs w:val="20"/>
        </w:rPr>
      </w:pPr>
    </w:p>
    <w:p w:rsidR="00C5653B" w:rsidRPr="00E444A9" w:rsidRDefault="00C5653B" w:rsidP="00C5653B">
      <w:pPr>
        <w:jc w:val="both"/>
        <w:rPr>
          <w:rFonts w:asciiTheme="minorHAnsi" w:hAnsiTheme="minorHAnsi" w:cstheme="minorHAnsi"/>
          <w:b/>
          <w:szCs w:val="20"/>
        </w:rPr>
      </w:pPr>
      <w:r w:rsidRPr="00E444A9">
        <w:rPr>
          <w:rFonts w:asciiTheme="minorHAnsi" w:hAnsiTheme="minorHAnsi" w:cstheme="minorHAnsi"/>
          <w:b/>
          <w:szCs w:val="20"/>
        </w:rPr>
        <w:t>XIII.- El padrón inmobiliario y el vehicular;</w:t>
      </w:r>
    </w:p>
    <w:p w:rsidR="00C5653B" w:rsidRPr="00E444A9" w:rsidRDefault="00C5653B" w:rsidP="00C5653B">
      <w:pPr>
        <w:jc w:val="both"/>
        <w:rPr>
          <w:rFonts w:asciiTheme="minorHAnsi" w:hAnsiTheme="minorHAnsi" w:cstheme="minorHAnsi"/>
          <w:szCs w:val="20"/>
        </w:rPr>
      </w:pPr>
      <w:r w:rsidRPr="00E444A9">
        <w:rPr>
          <w:rFonts w:asciiTheme="minorHAnsi" w:hAnsiTheme="minorHAnsi" w:cstheme="minorHAnsi"/>
          <w:szCs w:val="20"/>
        </w:rPr>
        <w:t>Con respecto al padrón inmobiliario se recomienda incorporar</w:t>
      </w:r>
    </w:p>
    <w:p w:rsidR="00C5653B" w:rsidRPr="00E444A9" w:rsidRDefault="00C5653B" w:rsidP="00C5653B">
      <w:pPr>
        <w:pStyle w:val="Prrafodelista"/>
        <w:numPr>
          <w:ilvl w:val="0"/>
          <w:numId w:val="33"/>
        </w:numPr>
        <w:jc w:val="both"/>
        <w:rPr>
          <w:rFonts w:asciiTheme="minorHAnsi" w:hAnsiTheme="minorHAnsi" w:cstheme="minorHAnsi"/>
          <w:szCs w:val="20"/>
        </w:rPr>
      </w:pPr>
      <w:r w:rsidRPr="00E444A9">
        <w:rPr>
          <w:rFonts w:asciiTheme="minorHAnsi" w:hAnsiTheme="minorHAnsi"/>
        </w:rPr>
        <w:t xml:space="preserve">Código o clave catastral, </w:t>
      </w:r>
      <w:r w:rsidRPr="00E444A9">
        <w:rPr>
          <w:rFonts w:asciiTheme="minorHAnsi" w:hAnsiTheme="minorHAnsi" w:cstheme="minorHAnsi"/>
          <w:b/>
          <w:szCs w:val="20"/>
        </w:rPr>
        <w:t>ATENDIDA</w:t>
      </w:r>
    </w:p>
    <w:p w:rsidR="00C5653B" w:rsidRPr="00E444A9" w:rsidRDefault="00C5653B" w:rsidP="00C5653B">
      <w:pPr>
        <w:pStyle w:val="Prrafodelista"/>
        <w:numPr>
          <w:ilvl w:val="0"/>
          <w:numId w:val="33"/>
        </w:numPr>
        <w:jc w:val="both"/>
        <w:rPr>
          <w:rFonts w:asciiTheme="minorHAnsi" w:hAnsiTheme="minorHAnsi" w:cstheme="minorHAnsi"/>
          <w:szCs w:val="20"/>
        </w:rPr>
      </w:pPr>
      <w:r w:rsidRPr="00E444A9">
        <w:rPr>
          <w:rFonts w:asciiTheme="minorHAnsi" w:hAnsiTheme="minorHAnsi"/>
        </w:rPr>
        <w:t>Valor catastral del inmueble.</w:t>
      </w:r>
      <w:r w:rsidRPr="00E444A9">
        <w:rPr>
          <w:rFonts w:asciiTheme="minorHAnsi" w:hAnsiTheme="minorHAnsi" w:cstheme="minorHAnsi"/>
          <w:b/>
          <w:szCs w:val="20"/>
        </w:rPr>
        <w:t xml:space="preserve"> ATENDIDA</w:t>
      </w:r>
      <w:r w:rsidRPr="00E444A9">
        <w:rPr>
          <w:rFonts w:asciiTheme="minorHAnsi" w:hAnsiTheme="minorHAnsi"/>
        </w:rPr>
        <w:tab/>
      </w:r>
      <w:r w:rsidRPr="00E444A9">
        <w:rPr>
          <w:rFonts w:asciiTheme="minorHAnsi" w:hAnsiTheme="minorHAnsi" w:cstheme="minorHAnsi"/>
          <w:szCs w:val="20"/>
        </w:rPr>
        <w:t xml:space="preserve"> </w:t>
      </w:r>
    </w:p>
    <w:p w:rsidR="00C5653B" w:rsidRPr="00E444A9" w:rsidRDefault="00C5653B" w:rsidP="00C5653B">
      <w:pPr>
        <w:pStyle w:val="Prrafodelista"/>
        <w:ind w:left="1068"/>
        <w:jc w:val="both"/>
        <w:rPr>
          <w:rFonts w:asciiTheme="minorHAnsi" w:hAnsiTheme="minorHAnsi" w:cstheme="minorHAnsi"/>
          <w:szCs w:val="20"/>
        </w:rPr>
      </w:pPr>
    </w:p>
    <w:p w:rsidR="00C5653B" w:rsidRPr="00E444A9" w:rsidRDefault="00C5653B" w:rsidP="00C5653B">
      <w:pPr>
        <w:jc w:val="both"/>
        <w:rPr>
          <w:rFonts w:asciiTheme="minorHAnsi" w:hAnsiTheme="minorHAnsi" w:cstheme="minorHAnsi"/>
          <w:szCs w:val="20"/>
        </w:rPr>
      </w:pPr>
      <w:r w:rsidRPr="00E444A9">
        <w:rPr>
          <w:rFonts w:asciiTheme="minorHAnsi" w:hAnsiTheme="minorHAnsi" w:cstheme="minorHAnsi"/>
          <w:szCs w:val="20"/>
        </w:rPr>
        <w:t xml:space="preserve">Con respecto al padrón vehicular se recomienda publicar adicionalmente los siguientes datos: </w:t>
      </w:r>
    </w:p>
    <w:p w:rsidR="00C5653B" w:rsidRPr="00E444A9" w:rsidRDefault="009F5FEA" w:rsidP="00C5653B">
      <w:pPr>
        <w:pStyle w:val="Prrafodelista"/>
        <w:numPr>
          <w:ilvl w:val="0"/>
          <w:numId w:val="34"/>
        </w:numPr>
        <w:jc w:val="both"/>
        <w:rPr>
          <w:rFonts w:asciiTheme="minorHAnsi" w:hAnsiTheme="minorHAnsi" w:cstheme="minorHAnsi"/>
          <w:szCs w:val="20"/>
        </w:rPr>
      </w:pPr>
      <w:r w:rsidRPr="00E444A9">
        <w:rPr>
          <w:rFonts w:asciiTheme="minorHAnsi" w:hAnsiTheme="minorHAnsi" w:cstheme="minorHAnsi"/>
          <w:szCs w:val="20"/>
        </w:rPr>
        <w:t>V</w:t>
      </w:r>
      <w:r w:rsidR="00C5653B" w:rsidRPr="00E444A9">
        <w:rPr>
          <w:rFonts w:asciiTheme="minorHAnsi" w:hAnsiTheme="minorHAnsi" w:cstheme="minorHAnsi"/>
          <w:szCs w:val="20"/>
        </w:rPr>
        <w:t>alor de compra y</w:t>
      </w:r>
      <w:r w:rsidRPr="00E444A9">
        <w:rPr>
          <w:rFonts w:asciiTheme="minorHAnsi" w:hAnsiTheme="minorHAnsi" w:cstheme="minorHAnsi"/>
          <w:szCs w:val="20"/>
        </w:rPr>
        <w:t>,</w:t>
      </w:r>
      <w:r w:rsidR="00C5653B" w:rsidRPr="00E444A9">
        <w:rPr>
          <w:rFonts w:asciiTheme="minorHAnsi" w:hAnsiTheme="minorHAnsi" w:cstheme="minorHAnsi"/>
          <w:szCs w:val="20"/>
        </w:rPr>
        <w:t xml:space="preserve"> </w:t>
      </w:r>
      <w:r w:rsidR="00C5653B" w:rsidRPr="00E444A9">
        <w:rPr>
          <w:rFonts w:asciiTheme="minorHAnsi" w:hAnsiTheme="minorHAnsi" w:cstheme="minorHAnsi"/>
          <w:b/>
          <w:szCs w:val="20"/>
        </w:rPr>
        <w:t>ATENDIDA</w:t>
      </w:r>
    </w:p>
    <w:p w:rsidR="00C5653B" w:rsidRPr="00E444A9" w:rsidRDefault="009F5FEA" w:rsidP="00C5653B">
      <w:pPr>
        <w:pStyle w:val="Prrafodelista"/>
        <w:numPr>
          <w:ilvl w:val="0"/>
          <w:numId w:val="34"/>
        </w:numPr>
        <w:jc w:val="both"/>
        <w:rPr>
          <w:rFonts w:asciiTheme="minorHAnsi" w:hAnsiTheme="minorHAnsi" w:cstheme="minorHAnsi"/>
          <w:szCs w:val="20"/>
        </w:rPr>
      </w:pPr>
      <w:r w:rsidRPr="00E444A9">
        <w:rPr>
          <w:rFonts w:asciiTheme="minorHAnsi" w:hAnsiTheme="minorHAnsi" w:cstheme="minorHAnsi"/>
          <w:szCs w:val="20"/>
        </w:rPr>
        <w:t>M</w:t>
      </w:r>
      <w:r w:rsidR="00C5653B" w:rsidRPr="00E444A9">
        <w:rPr>
          <w:rFonts w:asciiTheme="minorHAnsi" w:hAnsiTheme="minorHAnsi" w:cstheme="minorHAnsi"/>
          <w:szCs w:val="20"/>
        </w:rPr>
        <w:t xml:space="preserve">unicipio donde se encuentra asignado el vehículo. </w:t>
      </w:r>
      <w:r w:rsidR="00C5653B" w:rsidRPr="00E444A9">
        <w:rPr>
          <w:rFonts w:asciiTheme="minorHAnsi" w:hAnsiTheme="minorHAnsi" w:cstheme="minorHAnsi"/>
          <w:b/>
          <w:szCs w:val="20"/>
        </w:rPr>
        <w:t xml:space="preserve"> ATENDIDA</w:t>
      </w:r>
    </w:p>
    <w:p w:rsidR="00C5653B" w:rsidRPr="00E444A9" w:rsidRDefault="00C5653B" w:rsidP="00C5653B">
      <w:pPr>
        <w:pStyle w:val="Prrafodelista"/>
        <w:ind w:left="1068"/>
        <w:jc w:val="both"/>
        <w:rPr>
          <w:rFonts w:asciiTheme="minorHAnsi" w:hAnsiTheme="minorHAnsi" w:cstheme="minorHAnsi"/>
          <w:szCs w:val="20"/>
        </w:rPr>
      </w:pPr>
    </w:p>
    <w:p w:rsidR="00C5653B" w:rsidRPr="00E444A9" w:rsidRDefault="00C5653B" w:rsidP="00C5653B">
      <w:pPr>
        <w:jc w:val="both"/>
        <w:rPr>
          <w:rFonts w:asciiTheme="minorHAnsi" w:hAnsiTheme="minorHAnsi" w:cstheme="minorHAnsi"/>
          <w:b/>
          <w:szCs w:val="20"/>
        </w:rPr>
      </w:pPr>
      <w:r w:rsidRPr="00E444A9">
        <w:rPr>
          <w:rFonts w:asciiTheme="minorHAnsi" w:hAnsiTheme="minorHAnsi" w:cstheme="minorHAnsi"/>
          <w:b/>
          <w:szCs w:val="20"/>
        </w:rPr>
        <w:t>XIV.- Las resoluciones de los procedimientos de responsabilidad administrativa, una vez que hayan causado estado;</w:t>
      </w:r>
    </w:p>
    <w:p w:rsidR="00C5653B" w:rsidRPr="00E444A9" w:rsidRDefault="00C5653B" w:rsidP="00C5653B">
      <w:pPr>
        <w:pStyle w:val="Prrafodelista"/>
        <w:numPr>
          <w:ilvl w:val="0"/>
          <w:numId w:val="35"/>
        </w:numPr>
        <w:jc w:val="both"/>
        <w:rPr>
          <w:rFonts w:asciiTheme="minorHAnsi" w:hAnsiTheme="minorHAnsi" w:cstheme="minorHAnsi"/>
        </w:rPr>
      </w:pPr>
      <w:r w:rsidRPr="00E444A9">
        <w:rPr>
          <w:rFonts w:asciiTheme="minorHAnsi" w:hAnsiTheme="minorHAnsi" w:cstheme="minorHAnsi"/>
        </w:rPr>
        <w:lastRenderedPageBreak/>
        <w:t>Se recomienda actualizar la fracción de acuerdo al plazo señalado en la fracción II del artículo 12 de la Ley de Transparencia y Acceso a la Información Pública para el Estado de Baja California.</w:t>
      </w:r>
      <w:r w:rsidRPr="00E444A9">
        <w:rPr>
          <w:rFonts w:asciiTheme="minorHAnsi" w:hAnsiTheme="minorHAnsi" w:cstheme="minorHAnsi"/>
          <w:b/>
          <w:szCs w:val="20"/>
        </w:rPr>
        <w:t xml:space="preserve"> ATENDIDA</w:t>
      </w:r>
    </w:p>
    <w:p w:rsidR="00C5653B" w:rsidRPr="00E444A9" w:rsidRDefault="00C5653B" w:rsidP="00C5653B">
      <w:pPr>
        <w:pStyle w:val="Prrafodelista"/>
        <w:ind w:left="1068"/>
        <w:jc w:val="both"/>
        <w:rPr>
          <w:rFonts w:asciiTheme="minorHAnsi" w:hAnsiTheme="minorHAnsi" w:cstheme="minorHAnsi"/>
        </w:rPr>
      </w:pPr>
    </w:p>
    <w:p w:rsidR="00C5653B" w:rsidRPr="00E444A9" w:rsidRDefault="00C5653B" w:rsidP="00C5653B">
      <w:pPr>
        <w:pStyle w:val="Prrafodelista"/>
        <w:ind w:left="1068"/>
        <w:jc w:val="both"/>
        <w:rPr>
          <w:rFonts w:asciiTheme="minorHAnsi" w:hAnsiTheme="minorHAnsi" w:cstheme="minorHAnsi"/>
        </w:rPr>
      </w:pPr>
    </w:p>
    <w:p w:rsidR="00C5653B" w:rsidRPr="00E444A9" w:rsidRDefault="00C5653B" w:rsidP="00C5653B">
      <w:pPr>
        <w:jc w:val="both"/>
        <w:rPr>
          <w:rFonts w:asciiTheme="minorHAnsi" w:hAnsiTheme="minorHAnsi" w:cstheme="minorHAnsi"/>
          <w:b/>
          <w:szCs w:val="20"/>
        </w:rPr>
      </w:pPr>
      <w:r w:rsidRPr="00E444A9">
        <w:rPr>
          <w:rFonts w:asciiTheme="minorHAnsi" w:hAnsiTheme="minorHAnsi" w:cstheme="minorHAnsi"/>
          <w:b/>
          <w:szCs w:val="20"/>
        </w:rPr>
        <w:t>XV.- Los montos asignados y criterios de acceso a los programas sociales;</w:t>
      </w:r>
    </w:p>
    <w:p w:rsidR="00C5653B" w:rsidRPr="00E444A9" w:rsidRDefault="00C5653B" w:rsidP="00C5653B">
      <w:pPr>
        <w:pStyle w:val="Prrafodelista"/>
        <w:numPr>
          <w:ilvl w:val="0"/>
          <w:numId w:val="36"/>
        </w:numPr>
        <w:jc w:val="both"/>
        <w:rPr>
          <w:rFonts w:asciiTheme="minorHAnsi" w:hAnsiTheme="minorHAnsi" w:cstheme="minorHAnsi"/>
        </w:rPr>
      </w:pPr>
      <w:r w:rsidRPr="00E444A9">
        <w:rPr>
          <w:rFonts w:asciiTheme="minorHAnsi" w:hAnsiTheme="minorHAnsi" w:cstheme="minorHAnsi"/>
        </w:rPr>
        <w:t>Se recomienda actualizar la fracción de acuerdo al plazo señalado en la fracción II del artículo 12 de la Ley de Transparencia y Acceso a la Información Pública para el Estado de Baja California.</w:t>
      </w:r>
      <w:r w:rsidRPr="00E444A9">
        <w:rPr>
          <w:rFonts w:asciiTheme="minorHAnsi" w:hAnsiTheme="minorHAnsi" w:cstheme="minorHAnsi"/>
          <w:b/>
          <w:szCs w:val="20"/>
        </w:rPr>
        <w:t xml:space="preserve"> </w:t>
      </w:r>
      <w:r w:rsidR="00CA0514" w:rsidRPr="00E444A9">
        <w:rPr>
          <w:rFonts w:asciiTheme="minorHAnsi" w:hAnsiTheme="minorHAnsi" w:cstheme="minorHAnsi"/>
          <w:b/>
          <w:szCs w:val="20"/>
        </w:rPr>
        <w:t xml:space="preserve">NO </w:t>
      </w:r>
      <w:r w:rsidRPr="00E444A9">
        <w:rPr>
          <w:rFonts w:asciiTheme="minorHAnsi" w:hAnsiTheme="minorHAnsi" w:cstheme="minorHAnsi"/>
          <w:b/>
          <w:szCs w:val="20"/>
        </w:rPr>
        <w:t>ATENDIDA</w:t>
      </w:r>
    </w:p>
    <w:p w:rsidR="00C5653B" w:rsidRPr="00E444A9" w:rsidRDefault="00C5653B" w:rsidP="00C5653B">
      <w:pPr>
        <w:pStyle w:val="Prrafodelista"/>
        <w:ind w:left="1068"/>
        <w:jc w:val="both"/>
        <w:rPr>
          <w:rFonts w:asciiTheme="minorHAnsi" w:hAnsiTheme="minorHAnsi" w:cstheme="minorHAnsi"/>
        </w:rPr>
      </w:pPr>
    </w:p>
    <w:p w:rsidR="00C5653B" w:rsidRPr="00E444A9" w:rsidRDefault="00C5653B" w:rsidP="00C5653B">
      <w:pPr>
        <w:jc w:val="both"/>
        <w:rPr>
          <w:rFonts w:asciiTheme="minorHAnsi" w:hAnsiTheme="minorHAnsi" w:cstheme="minorHAnsi"/>
          <w:b/>
          <w:szCs w:val="20"/>
        </w:rPr>
      </w:pPr>
      <w:r w:rsidRPr="00E444A9">
        <w:rPr>
          <w:rFonts w:asciiTheme="minorHAnsi" w:hAnsiTheme="minorHAnsi" w:cstheme="minorHAnsi"/>
          <w:b/>
          <w:szCs w:val="20"/>
        </w:rPr>
        <w:t>XVI.- Las leyes, reglamentos, decretos, circulares y demás normas que les resulten aplicables;</w:t>
      </w:r>
    </w:p>
    <w:p w:rsidR="00C5653B" w:rsidRPr="00E444A9" w:rsidRDefault="00C5653B" w:rsidP="00C5653B">
      <w:pPr>
        <w:pStyle w:val="Prrafodelista"/>
        <w:numPr>
          <w:ilvl w:val="0"/>
          <w:numId w:val="37"/>
        </w:numPr>
        <w:jc w:val="both"/>
        <w:rPr>
          <w:rFonts w:asciiTheme="minorHAnsi" w:hAnsiTheme="minorHAnsi"/>
        </w:rPr>
      </w:pPr>
      <w:r w:rsidRPr="00E444A9">
        <w:rPr>
          <w:rFonts w:asciiTheme="minorHAnsi" w:hAnsiTheme="minorHAnsi"/>
        </w:rPr>
        <w:t>Se recomienda mencionar en el listado la fecha de su publicación en el Periódico Oficial y establecerse un enlace electrónico con el archivo que contenga los documentos legales correspondientes.</w:t>
      </w:r>
      <w:r w:rsidRPr="00E444A9">
        <w:rPr>
          <w:rFonts w:asciiTheme="minorHAnsi" w:hAnsiTheme="minorHAnsi" w:cstheme="minorHAnsi"/>
          <w:b/>
          <w:szCs w:val="20"/>
        </w:rPr>
        <w:t xml:space="preserve">  ATENDIDA</w:t>
      </w:r>
    </w:p>
    <w:p w:rsidR="00C5653B" w:rsidRPr="00E444A9" w:rsidRDefault="00C5653B" w:rsidP="00C5653B">
      <w:pPr>
        <w:pStyle w:val="Prrafodelista"/>
        <w:numPr>
          <w:ilvl w:val="0"/>
          <w:numId w:val="37"/>
        </w:numPr>
        <w:jc w:val="both"/>
        <w:rPr>
          <w:rFonts w:asciiTheme="minorHAnsi" w:hAnsiTheme="minorHAnsi" w:cstheme="minorHAnsi"/>
        </w:rPr>
      </w:pPr>
      <w:r w:rsidRPr="00E444A9">
        <w:rPr>
          <w:rFonts w:asciiTheme="minorHAnsi" w:hAnsiTheme="minorHAnsi" w:cstheme="minorHAnsi"/>
        </w:rPr>
        <w:t>Se recomienda actualizar la fracción de acuerdo al plazo señalado en la fracción II del artículo 12 de la Ley de Transparencia y Acceso a la Información Pública para el Estado de Baja California.</w:t>
      </w:r>
      <w:r w:rsidRPr="00E444A9">
        <w:rPr>
          <w:rFonts w:asciiTheme="minorHAnsi" w:hAnsiTheme="minorHAnsi" w:cstheme="minorHAnsi"/>
          <w:b/>
          <w:szCs w:val="20"/>
        </w:rPr>
        <w:t xml:space="preserve">  ATENDIDA</w:t>
      </w:r>
    </w:p>
    <w:p w:rsidR="00C5653B" w:rsidRPr="00E444A9" w:rsidRDefault="00C5653B" w:rsidP="00C5653B">
      <w:pPr>
        <w:jc w:val="both"/>
        <w:rPr>
          <w:rFonts w:asciiTheme="minorHAnsi" w:hAnsiTheme="minorHAnsi" w:cstheme="minorHAnsi"/>
          <w:b/>
          <w:szCs w:val="20"/>
        </w:rPr>
      </w:pPr>
    </w:p>
    <w:p w:rsidR="00C5653B" w:rsidRPr="00E444A9" w:rsidRDefault="00C5653B" w:rsidP="00C5653B">
      <w:pPr>
        <w:jc w:val="both"/>
        <w:rPr>
          <w:rFonts w:asciiTheme="minorHAnsi" w:hAnsiTheme="minorHAnsi" w:cstheme="minorHAnsi"/>
          <w:b/>
          <w:szCs w:val="20"/>
        </w:rPr>
      </w:pPr>
      <w:r w:rsidRPr="00E444A9">
        <w:rPr>
          <w:rFonts w:asciiTheme="minorHAnsi" w:hAnsiTheme="minorHAnsi" w:cstheme="minorHAnsi"/>
          <w:b/>
          <w:szCs w:val="20"/>
        </w:rPr>
        <w:t>XVII.- Las convocatorias a concurso o licitación pública para las obras públicas, concesiones, adquisiciones, enajenaciones, arrendamientos y prestación de servicios, así como los resultados de aquellos, que contendrán por lo menos:</w:t>
      </w:r>
    </w:p>
    <w:p w:rsidR="00C5653B" w:rsidRPr="00E444A9" w:rsidRDefault="00C5653B" w:rsidP="00C5653B">
      <w:pPr>
        <w:jc w:val="both"/>
        <w:rPr>
          <w:rFonts w:asciiTheme="minorHAnsi" w:hAnsiTheme="minorHAnsi" w:cstheme="minorHAnsi"/>
          <w:b/>
          <w:szCs w:val="20"/>
        </w:rPr>
      </w:pPr>
      <w:r w:rsidRPr="00E444A9">
        <w:rPr>
          <w:rFonts w:asciiTheme="minorHAnsi" w:hAnsiTheme="minorHAnsi" w:cstheme="minorHAnsi"/>
          <w:b/>
          <w:szCs w:val="20"/>
        </w:rPr>
        <w:t>a).- La justificación técnica y financiera;</w:t>
      </w:r>
    </w:p>
    <w:p w:rsidR="00C5653B" w:rsidRPr="00E444A9" w:rsidRDefault="00C5653B" w:rsidP="00C5653B">
      <w:pPr>
        <w:jc w:val="both"/>
        <w:rPr>
          <w:rFonts w:asciiTheme="minorHAnsi" w:hAnsiTheme="minorHAnsi" w:cstheme="minorHAnsi"/>
          <w:b/>
          <w:szCs w:val="20"/>
        </w:rPr>
      </w:pPr>
      <w:r w:rsidRPr="00E444A9">
        <w:rPr>
          <w:rFonts w:asciiTheme="minorHAnsi" w:hAnsiTheme="minorHAnsi" w:cstheme="minorHAnsi"/>
          <w:b/>
          <w:szCs w:val="20"/>
        </w:rPr>
        <w:t>b).- Número de Identificación precisa del contrato, el monto, el nombre o razón social de la persona física o moral con quien se haya celebrado el contrato, el plazo y demás condiciones de cumplimiento; y</w:t>
      </w:r>
    </w:p>
    <w:p w:rsidR="00C5653B" w:rsidRPr="00E444A9" w:rsidRDefault="00C5653B" w:rsidP="00C5653B">
      <w:pPr>
        <w:jc w:val="both"/>
        <w:rPr>
          <w:rFonts w:asciiTheme="minorHAnsi" w:hAnsiTheme="minorHAnsi" w:cstheme="minorHAnsi"/>
          <w:b/>
          <w:szCs w:val="20"/>
        </w:rPr>
      </w:pPr>
      <w:r w:rsidRPr="00E444A9">
        <w:rPr>
          <w:rFonts w:asciiTheme="minorHAnsi" w:hAnsiTheme="minorHAnsi" w:cstheme="minorHAnsi"/>
          <w:b/>
          <w:szCs w:val="20"/>
        </w:rPr>
        <w:t>c).- En su caso, las modificaciones a las condiciones originales del contrato.</w:t>
      </w:r>
    </w:p>
    <w:p w:rsidR="00C5653B" w:rsidRPr="00E444A9" w:rsidRDefault="00C5653B" w:rsidP="00C5653B">
      <w:pPr>
        <w:pStyle w:val="Prrafodelista"/>
        <w:numPr>
          <w:ilvl w:val="0"/>
          <w:numId w:val="38"/>
        </w:numPr>
        <w:jc w:val="both"/>
        <w:rPr>
          <w:rFonts w:asciiTheme="minorHAnsi" w:hAnsiTheme="minorHAnsi"/>
        </w:rPr>
      </w:pPr>
      <w:r w:rsidRPr="00E444A9">
        <w:rPr>
          <w:rFonts w:asciiTheme="minorHAnsi" w:hAnsiTheme="minorHAnsi"/>
        </w:rPr>
        <w:t>Se recomienda  incluir la justificación técnica y financiera;</w:t>
      </w:r>
      <w:r w:rsidRPr="00E444A9">
        <w:rPr>
          <w:rFonts w:asciiTheme="minorHAnsi" w:hAnsiTheme="minorHAnsi" w:cstheme="minorHAnsi"/>
          <w:b/>
          <w:szCs w:val="20"/>
        </w:rPr>
        <w:t xml:space="preserve">  ATENDIDA</w:t>
      </w:r>
    </w:p>
    <w:p w:rsidR="00C5653B" w:rsidRPr="00E444A9" w:rsidRDefault="00C5653B" w:rsidP="00C5653B">
      <w:pPr>
        <w:pStyle w:val="Prrafodelista"/>
        <w:numPr>
          <w:ilvl w:val="0"/>
          <w:numId w:val="38"/>
        </w:numPr>
        <w:jc w:val="both"/>
        <w:rPr>
          <w:rFonts w:asciiTheme="minorHAnsi" w:hAnsiTheme="minorHAnsi"/>
        </w:rPr>
      </w:pPr>
      <w:r w:rsidRPr="00E444A9">
        <w:rPr>
          <w:rFonts w:asciiTheme="minorHAnsi" w:hAnsiTheme="minorHAnsi"/>
        </w:rPr>
        <w:t>Número de Identificación precisa del contrato, el monto, el nombre o razón social de la persona física o moral con quien se haya celebrado el contrato, el plazo y demás condiciones de cumplimiento; y</w:t>
      </w:r>
      <w:r w:rsidRPr="00E444A9">
        <w:rPr>
          <w:rFonts w:asciiTheme="minorHAnsi" w:hAnsiTheme="minorHAnsi" w:cstheme="minorHAnsi"/>
          <w:b/>
          <w:szCs w:val="20"/>
        </w:rPr>
        <w:t xml:space="preserve"> ATENDIDA</w:t>
      </w:r>
    </w:p>
    <w:p w:rsidR="00C5653B" w:rsidRPr="00E444A9" w:rsidRDefault="00C5653B" w:rsidP="00C5653B">
      <w:pPr>
        <w:pStyle w:val="Prrafodelista"/>
        <w:numPr>
          <w:ilvl w:val="0"/>
          <w:numId w:val="38"/>
        </w:numPr>
        <w:jc w:val="both"/>
        <w:rPr>
          <w:rFonts w:asciiTheme="minorHAnsi" w:hAnsiTheme="minorHAnsi"/>
        </w:rPr>
      </w:pPr>
      <w:r w:rsidRPr="00E444A9">
        <w:rPr>
          <w:rFonts w:asciiTheme="minorHAnsi" w:hAnsiTheme="minorHAnsi"/>
        </w:rPr>
        <w:t>En su caso, las modificaciones a las condiciones originales del contrato.</w:t>
      </w:r>
      <w:r w:rsidRPr="00E444A9">
        <w:rPr>
          <w:rFonts w:asciiTheme="minorHAnsi" w:hAnsiTheme="minorHAnsi"/>
        </w:rPr>
        <w:tab/>
      </w:r>
      <w:r w:rsidRPr="00E444A9">
        <w:rPr>
          <w:rFonts w:asciiTheme="minorHAnsi" w:hAnsiTheme="minorHAnsi" w:cstheme="minorHAnsi"/>
          <w:b/>
          <w:szCs w:val="20"/>
        </w:rPr>
        <w:t>ATENDIDA</w:t>
      </w:r>
    </w:p>
    <w:p w:rsidR="00C5653B" w:rsidRPr="00E444A9" w:rsidRDefault="00C5653B" w:rsidP="00C5653B">
      <w:pPr>
        <w:pStyle w:val="Prrafodelista"/>
        <w:ind w:left="1068"/>
        <w:jc w:val="both"/>
        <w:rPr>
          <w:rFonts w:asciiTheme="minorHAnsi" w:hAnsiTheme="minorHAnsi"/>
        </w:rPr>
      </w:pPr>
    </w:p>
    <w:p w:rsidR="00C5653B" w:rsidRPr="00E444A9" w:rsidRDefault="00C5653B" w:rsidP="00C5653B">
      <w:pPr>
        <w:jc w:val="both"/>
        <w:rPr>
          <w:rFonts w:asciiTheme="minorHAnsi" w:hAnsiTheme="minorHAnsi" w:cstheme="minorHAnsi"/>
          <w:b/>
          <w:szCs w:val="20"/>
        </w:rPr>
      </w:pPr>
      <w:r w:rsidRPr="00E444A9">
        <w:rPr>
          <w:rFonts w:asciiTheme="minorHAnsi" w:hAnsiTheme="minorHAnsi" w:cstheme="minorHAnsi"/>
          <w:b/>
          <w:szCs w:val="20"/>
        </w:rPr>
        <w:lastRenderedPageBreak/>
        <w:t>XVIII.- Las adjudicaciones directas, señalando los motivos y fundamentos legales aplicados;</w:t>
      </w:r>
    </w:p>
    <w:p w:rsidR="00C5653B" w:rsidRPr="00E444A9" w:rsidRDefault="00C5653B" w:rsidP="00C5653B">
      <w:pPr>
        <w:pStyle w:val="Prrafodelista"/>
        <w:numPr>
          <w:ilvl w:val="0"/>
          <w:numId w:val="39"/>
        </w:numPr>
        <w:jc w:val="both"/>
        <w:rPr>
          <w:rFonts w:asciiTheme="minorHAnsi" w:hAnsiTheme="minorHAnsi" w:cstheme="minorHAnsi"/>
          <w:b/>
          <w:szCs w:val="20"/>
        </w:rPr>
      </w:pPr>
      <w:r w:rsidRPr="00E444A9">
        <w:rPr>
          <w:rFonts w:asciiTheme="minorHAnsi" w:hAnsiTheme="minorHAnsi" w:cstheme="minorHAnsi"/>
          <w:szCs w:val="20"/>
        </w:rPr>
        <w:t>Se recomienda publicar el número,</w:t>
      </w:r>
      <w:r w:rsidRPr="00E444A9">
        <w:rPr>
          <w:rFonts w:asciiTheme="minorHAnsi" w:hAnsiTheme="minorHAnsi" w:cstheme="minorHAnsi"/>
          <w:b/>
          <w:szCs w:val="20"/>
        </w:rPr>
        <w:t xml:space="preserve">  ATENDIDA</w:t>
      </w:r>
    </w:p>
    <w:p w:rsidR="00C5653B" w:rsidRPr="00E444A9" w:rsidRDefault="00C5653B" w:rsidP="00C5653B">
      <w:pPr>
        <w:pStyle w:val="Prrafodelista"/>
        <w:numPr>
          <w:ilvl w:val="0"/>
          <w:numId w:val="39"/>
        </w:numPr>
        <w:jc w:val="both"/>
        <w:rPr>
          <w:rFonts w:asciiTheme="minorHAnsi" w:hAnsiTheme="minorHAnsi" w:cstheme="minorHAnsi"/>
          <w:b/>
          <w:szCs w:val="20"/>
        </w:rPr>
      </w:pPr>
      <w:r w:rsidRPr="00E444A9">
        <w:rPr>
          <w:rFonts w:asciiTheme="minorHAnsi" w:hAnsiTheme="minorHAnsi" w:cstheme="minorHAnsi"/>
          <w:szCs w:val="20"/>
        </w:rPr>
        <w:t xml:space="preserve"> Fecha del contrato y </w:t>
      </w:r>
      <w:r w:rsidRPr="00E444A9">
        <w:rPr>
          <w:rFonts w:asciiTheme="minorHAnsi" w:hAnsiTheme="minorHAnsi" w:cstheme="minorHAnsi"/>
          <w:b/>
          <w:szCs w:val="20"/>
        </w:rPr>
        <w:t>ATENDIDA</w:t>
      </w:r>
    </w:p>
    <w:p w:rsidR="00C5653B" w:rsidRPr="00E444A9" w:rsidRDefault="00C5653B" w:rsidP="00C5653B">
      <w:pPr>
        <w:pStyle w:val="Prrafodelista"/>
        <w:numPr>
          <w:ilvl w:val="0"/>
          <w:numId w:val="39"/>
        </w:numPr>
        <w:jc w:val="both"/>
        <w:rPr>
          <w:rFonts w:asciiTheme="minorHAnsi" w:hAnsiTheme="minorHAnsi" w:cstheme="minorHAnsi"/>
          <w:b/>
          <w:szCs w:val="20"/>
        </w:rPr>
      </w:pPr>
      <w:r w:rsidRPr="00E444A9">
        <w:rPr>
          <w:rFonts w:asciiTheme="minorHAnsi" w:hAnsiTheme="minorHAnsi" w:cstheme="minorHAnsi"/>
          <w:szCs w:val="20"/>
        </w:rPr>
        <w:t>El monto de las adjudicaciones.</w:t>
      </w:r>
      <w:r w:rsidRPr="00E444A9">
        <w:rPr>
          <w:rFonts w:asciiTheme="minorHAnsi" w:hAnsiTheme="minorHAnsi" w:cstheme="minorHAnsi"/>
          <w:b/>
          <w:szCs w:val="20"/>
        </w:rPr>
        <w:t xml:space="preserve">  ATENDIDA</w:t>
      </w:r>
    </w:p>
    <w:p w:rsidR="00C5653B" w:rsidRPr="00E444A9" w:rsidRDefault="00C5653B" w:rsidP="00C5653B">
      <w:pPr>
        <w:pStyle w:val="Prrafodelista"/>
        <w:ind w:left="1068"/>
        <w:jc w:val="both"/>
        <w:rPr>
          <w:rFonts w:asciiTheme="minorHAnsi" w:hAnsiTheme="minorHAnsi" w:cstheme="minorHAnsi"/>
          <w:b/>
          <w:szCs w:val="20"/>
        </w:rPr>
      </w:pPr>
    </w:p>
    <w:p w:rsidR="00C5653B" w:rsidRPr="00E444A9" w:rsidRDefault="00C5653B" w:rsidP="00C5653B">
      <w:pPr>
        <w:jc w:val="both"/>
        <w:rPr>
          <w:rFonts w:asciiTheme="minorHAnsi" w:hAnsiTheme="minorHAnsi" w:cstheme="minorHAnsi"/>
          <w:b/>
          <w:szCs w:val="20"/>
        </w:rPr>
      </w:pPr>
      <w:r w:rsidRPr="00E444A9">
        <w:rPr>
          <w:rFonts w:asciiTheme="minorHAnsi" w:hAnsiTheme="minorHAnsi" w:cstheme="minorHAnsi"/>
          <w:b/>
          <w:szCs w:val="20"/>
        </w:rPr>
        <w:t>XIX.- Respecto de los contratos de servicios profesionales celebrados por el sujeto obligado, un listado que relacione el número de contrato, su fecha de celebración, el nombre o razón social del proveedor, el objeto del contrato y el monto del valor total de la contratación;</w:t>
      </w:r>
    </w:p>
    <w:p w:rsidR="00C5653B" w:rsidRPr="00E444A9" w:rsidRDefault="00C5653B" w:rsidP="00C5653B">
      <w:pPr>
        <w:jc w:val="both"/>
        <w:rPr>
          <w:rFonts w:asciiTheme="minorHAnsi" w:hAnsiTheme="minorHAnsi"/>
        </w:rPr>
      </w:pPr>
      <w:r w:rsidRPr="00E444A9">
        <w:rPr>
          <w:rFonts w:asciiTheme="minorHAnsi" w:hAnsiTheme="minorHAnsi"/>
        </w:rPr>
        <w:t xml:space="preserve">Se recomienda publicar información generada durante la presente Legislatura mediante un listado que relacione: </w:t>
      </w:r>
    </w:p>
    <w:p w:rsidR="00C5653B" w:rsidRPr="00E444A9" w:rsidRDefault="00C5653B" w:rsidP="00C5653B">
      <w:pPr>
        <w:pStyle w:val="Prrafodelista"/>
        <w:numPr>
          <w:ilvl w:val="0"/>
          <w:numId w:val="40"/>
        </w:numPr>
        <w:jc w:val="both"/>
        <w:rPr>
          <w:rFonts w:asciiTheme="minorHAnsi" w:hAnsiTheme="minorHAnsi"/>
        </w:rPr>
      </w:pPr>
      <w:r w:rsidRPr="00E444A9">
        <w:rPr>
          <w:rFonts w:asciiTheme="minorHAnsi" w:hAnsiTheme="minorHAnsi"/>
        </w:rPr>
        <w:t xml:space="preserve">El número de contrato, </w:t>
      </w:r>
      <w:r w:rsidRPr="00E444A9">
        <w:rPr>
          <w:rFonts w:asciiTheme="minorHAnsi" w:hAnsiTheme="minorHAnsi" w:cstheme="minorHAnsi"/>
          <w:b/>
          <w:szCs w:val="20"/>
        </w:rPr>
        <w:t>NO ATENDIDA</w:t>
      </w:r>
    </w:p>
    <w:p w:rsidR="00C5653B" w:rsidRPr="00E444A9" w:rsidRDefault="00C5653B" w:rsidP="00C5653B">
      <w:pPr>
        <w:pStyle w:val="Prrafodelista"/>
        <w:numPr>
          <w:ilvl w:val="0"/>
          <w:numId w:val="40"/>
        </w:numPr>
        <w:jc w:val="both"/>
        <w:rPr>
          <w:rFonts w:asciiTheme="minorHAnsi" w:hAnsiTheme="minorHAnsi"/>
        </w:rPr>
      </w:pPr>
      <w:r w:rsidRPr="00E444A9">
        <w:rPr>
          <w:rFonts w:asciiTheme="minorHAnsi" w:hAnsiTheme="minorHAnsi"/>
        </w:rPr>
        <w:t xml:space="preserve">Su fecha de celebración, </w:t>
      </w:r>
      <w:r w:rsidRPr="00E444A9">
        <w:rPr>
          <w:rFonts w:asciiTheme="minorHAnsi" w:hAnsiTheme="minorHAnsi" w:cstheme="minorHAnsi"/>
          <w:b/>
          <w:szCs w:val="20"/>
        </w:rPr>
        <w:t>NO ATENDIDA</w:t>
      </w:r>
    </w:p>
    <w:p w:rsidR="00C5653B" w:rsidRPr="00E444A9" w:rsidRDefault="00C5653B" w:rsidP="00C5653B">
      <w:pPr>
        <w:pStyle w:val="Prrafodelista"/>
        <w:numPr>
          <w:ilvl w:val="0"/>
          <w:numId w:val="40"/>
        </w:numPr>
        <w:jc w:val="both"/>
        <w:rPr>
          <w:rFonts w:asciiTheme="minorHAnsi" w:hAnsiTheme="minorHAnsi"/>
        </w:rPr>
      </w:pPr>
      <w:r w:rsidRPr="00E444A9">
        <w:rPr>
          <w:rFonts w:asciiTheme="minorHAnsi" w:hAnsiTheme="minorHAnsi"/>
        </w:rPr>
        <w:t xml:space="preserve">El nombre o razón social del proveedor, </w:t>
      </w:r>
      <w:r w:rsidRPr="00E444A9">
        <w:rPr>
          <w:rFonts w:asciiTheme="minorHAnsi" w:hAnsiTheme="minorHAnsi" w:cstheme="minorHAnsi"/>
          <w:b/>
          <w:szCs w:val="20"/>
        </w:rPr>
        <w:t>NO ATENDIDA</w:t>
      </w:r>
    </w:p>
    <w:p w:rsidR="00C5653B" w:rsidRPr="00E444A9" w:rsidRDefault="00C5653B" w:rsidP="00C5653B">
      <w:pPr>
        <w:pStyle w:val="Prrafodelista"/>
        <w:numPr>
          <w:ilvl w:val="0"/>
          <w:numId w:val="40"/>
        </w:numPr>
        <w:jc w:val="both"/>
        <w:rPr>
          <w:rFonts w:asciiTheme="minorHAnsi" w:hAnsiTheme="minorHAnsi"/>
        </w:rPr>
      </w:pPr>
      <w:r w:rsidRPr="00E444A9">
        <w:rPr>
          <w:rFonts w:asciiTheme="minorHAnsi" w:hAnsiTheme="minorHAnsi"/>
        </w:rPr>
        <w:t xml:space="preserve">El objeto del contrato, y </w:t>
      </w:r>
      <w:r w:rsidRPr="00E444A9">
        <w:rPr>
          <w:rFonts w:asciiTheme="minorHAnsi" w:hAnsiTheme="minorHAnsi" w:cstheme="minorHAnsi"/>
          <w:b/>
          <w:szCs w:val="20"/>
        </w:rPr>
        <w:t>NO ATENDIDA</w:t>
      </w:r>
    </w:p>
    <w:p w:rsidR="00C5653B" w:rsidRPr="00E444A9" w:rsidRDefault="00C5653B" w:rsidP="00C5653B">
      <w:pPr>
        <w:pStyle w:val="Prrafodelista"/>
        <w:numPr>
          <w:ilvl w:val="0"/>
          <w:numId w:val="40"/>
        </w:numPr>
        <w:jc w:val="both"/>
        <w:rPr>
          <w:rFonts w:asciiTheme="minorHAnsi" w:hAnsiTheme="minorHAnsi"/>
        </w:rPr>
      </w:pPr>
      <w:r w:rsidRPr="00E444A9">
        <w:rPr>
          <w:rFonts w:asciiTheme="minorHAnsi" w:hAnsiTheme="minorHAnsi"/>
        </w:rPr>
        <w:t xml:space="preserve">El monto del valor total de la contratación. </w:t>
      </w:r>
      <w:r w:rsidRPr="00E444A9">
        <w:rPr>
          <w:rFonts w:asciiTheme="minorHAnsi" w:hAnsiTheme="minorHAnsi" w:cstheme="minorHAnsi"/>
          <w:b/>
          <w:szCs w:val="20"/>
        </w:rPr>
        <w:t>NO ATENDIDA</w:t>
      </w:r>
    </w:p>
    <w:p w:rsidR="00C5653B" w:rsidRPr="00E444A9" w:rsidRDefault="00C5653B" w:rsidP="00C5653B">
      <w:pPr>
        <w:pStyle w:val="Prrafodelista"/>
        <w:ind w:left="1068"/>
        <w:jc w:val="both"/>
        <w:rPr>
          <w:rFonts w:asciiTheme="minorHAnsi" w:hAnsiTheme="minorHAnsi"/>
          <w:sz w:val="23"/>
          <w:szCs w:val="23"/>
        </w:rPr>
      </w:pPr>
    </w:p>
    <w:p w:rsidR="00C5653B" w:rsidRPr="00E444A9" w:rsidRDefault="00C5653B" w:rsidP="00C5653B">
      <w:pPr>
        <w:pStyle w:val="Prrafodelista"/>
        <w:ind w:left="1068"/>
        <w:jc w:val="both"/>
        <w:rPr>
          <w:rFonts w:asciiTheme="minorHAnsi" w:hAnsiTheme="minorHAnsi"/>
          <w:sz w:val="23"/>
          <w:szCs w:val="23"/>
        </w:rPr>
      </w:pPr>
    </w:p>
    <w:p w:rsidR="00C5653B" w:rsidRPr="00E444A9" w:rsidRDefault="00C5653B" w:rsidP="00C5653B">
      <w:pPr>
        <w:jc w:val="both"/>
        <w:rPr>
          <w:rFonts w:asciiTheme="minorHAnsi" w:hAnsiTheme="minorHAnsi" w:cstheme="minorHAnsi"/>
          <w:b/>
          <w:szCs w:val="20"/>
        </w:rPr>
      </w:pPr>
      <w:r w:rsidRPr="00E444A9">
        <w:rPr>
          <w:rFonts w:asciiTheme="minorHAnsi" w:hAnsiTheme="minorHAnsi" w:cstheme="minorHAnsi"/>
          <w:b/>
          <w:szCs w:val="20"/>
        </w:rPr>
        <w:t>XX.- El domicilio, número telefónico y la dirección electrónica de la Unidad de Transparencia, así como del Órgano Garante;</w:t>
      </w:r>
    </w:p>
    <w:p w:rsidR="00C5653B" w:rsidRPr="00E444A9" w:rsidRDefault="00C5653B" w:rsidP="00C5653B">
      <w:pPr>
        <w:jc w:val="both"/>
        <w:rPr>
          <w:rFonts w:asciiTheme="minorHAnsi" w:hAnsiTheme="minorHAnsi" w:cstheme="minorHAnsi"/>
          <w:szCs w:val="20"/>
        </w:rPr>
      </w:pPr>
      <w:r w:rsidRPr="00E444A9">
        <w:rPr>
          <w:rFonts w:asciiTheme="minorHAnsi" w:hAnsiTheme="minorHAnsi" w:cstheme="minorHAnsi"/>
          <w:szCs w:val="20"/>
        </w:rPr>
        <w:t>No se emiten recomendaciones con respecto a esta fracción.</w:t>
      </w:r>
    </w:p>
    <w:p w:rsidR="00C5653B" w:rsidRPr="00E444A9" w:rsidRDefault="00C5653B" w:rsidP="00C5653B">
      <w:pPr>
        <w:jc w:val="both"/>
        <w:rPr>
          <w:rFonts w:asciiTheme="minorHAnsi" w:hAnsiTheme="minorHAnsi" w:cstheme="minorHAnsi"/>
          <w:szCs w:val="20"/>
        </w:rPr>
      </w:pPr>
    </w:p>
    <w:p w:rsidR="00C5653B" w:rsidRPr="00E444A9" w:rsidRDefault="00C5653B" w:rsidP="00C5653B">
      <w:pPr>
        <w:jc w:val="both"/>
        <w:rPr>
          <w:rFonts w:asciiTheme="minorHAnsi" w:hAnsiTheme="minorHAnsi" w:cstheme="minorHAnsi"/>
          <w:b/>
          <w:szCs w:val="20"/>
        </w:rPr>
      </w:pPr>
      <w:r w:rsidRPr="00E444A9">
        <w:rPr>
          <w:rFonts w:asciiTheme="minorHAnsi" w:hAnsiTheme="minorHAnsi" w:cstheme="minorHAnsi"/>
          <w:b/>
          <w:szCs w:val="20"/>
        </w:rPr>
        <w:t>XXI.- La relación de solicitudes de acceso a la información pública y las respuestas que se les den;</w:t>
      </w:r>
    </w:p>
    <w:p w:rsidR="00C5653B" w:rsidRPr="00E444A9" w:rsidRDefault="00C5653B" w:rsidP="00C5653B">
      <w:pPr>
        <w:jc w:val="both"/>
        <w:rPr>
          <w:rFonts w:asciiTheme="minorHAnsi" w:hAnsiTheme="minorHAnsi" w:cstheme="minorHAnsi"/>
          <w:szCs w:val="20"/>
        </w:rPr>
      </w:pPr>
      <w:r w:rsidRPr="00E444A9">
        <w:rPr>
          <w:rFonts w:asciiTheme="minorHAnsi" w:hAnsiTheme="minorHAnsi" w:cstheme="minorHAnsi"/>
          <w:szCs w:val="20"/>
        </w:rPr>
        <w:t>No se emiten recomendaciones con respecto a esta fracción.</w:t>
      </w:r>
    </w:p>
    <w:p w:rsidR="00C5653B" w:rsidRPr="00E444A9" w:rsidRDefault="00C5653B" w:rsidP="00C5653B">
      <w:pPr>
        <w:jc w:val="both"/>
        <w:rPr>
          <w:rFonts w:asciiTheme="minorHAnsi" w:hAnsiTheme="minorHAnsi" w:cstheme="minorHAnsi"/>
          <w:szCs w:val="20"/>
        </w:rPr>
      </w:pPr>
    </w:p>
    <w:p w:rsidR="00C5653B" w:rsidRPr="00E444A9" w:rsidRDefault="00C5653B" w:rsidP="00C5653B">
      <w:pPr>
        <w:jc w:val="both"/>
        <w:rPr>
          <w:rFonts w:asciiTheme="minorHAnsi" w:hAnsiTheme="minorHAnsi" w:cstheme="minorHAnsi"/>
          <w:b/>
          <w:szCs w:val="20"/>
        </w:rPr>
      </w:pPr>
      <w:r w:rsidRPr="00E444A9">
        <w:rPr>
          <w:rFonts w:asciiTheme="minorHAnsi" w:hAnsiTheme="minorHAnsi" w:cstheme="minorHAnsi"/>
          <w:b/>
          <w:szCs w:val="20"/>
        </w:rPr>
        <w:t>XXII La relación de los servidores públicos comisionados fuera de su área de adscripción por cualquier causa, incluso de carácter sindical;</w:t>
      </w:r>
    </w:p>
    <w:p w:rsidR="00C5653B" w:rsidRPr="00E444A9" w:rsidRDefault="00C5653B" w:rsidP="00C5653B">
      <w:pPr>
        <w:jc w:val="both"/>
        <w:rPr>
          <w:rFonts w:asciiTheme="minorHAnsi" w:hAnsiTheme="minorHAnsi" w:cstheme="minorHAnsi"/>
          <w:szCs w:val="20"/>
        </w:rPr>
      </w:pPr>
      <w:r w:rsidRPr="00E444A9">
        <w:rPr>
          <w:rFonts w:asciiTheme="minorHAnsi" w:hAnsiTheme="minorHAnsi" w:cstheme="minorHAnsi"/>
          <w:szCs w:val="20"/>
        </w:rPr>
        <w:t>No se emiten recomendaciones con respecto a esta fracción.</w:t>
      </w:r>
    </w:p>
    <w:p w:rsidR="00C5653B" w:rsidRPr="00E444A9" w:rsidRDefault="00C5653B" w:rsidP="00C5653B">
      <w:pPr>
        <w:jc w:val="both"/>
        <w:rPr>
          <w:rFonts w:asciiTheme="minorHAnsi" w:hAnsiTheme="minorHAnsi" w:cstheme="minorHAnsi"/>
          <w:szCs w:val="20"/>
        </w:rPr>
      </w:pPr>
    </w:p>
    <w:p w:rsidR="00C5653B" w:rsidRPr="00E444A9" w:rsidRDefault="00C5653B" w:rsidP="00C5653B">
      <w:pPr>
        <w:jc w:val="both"/>
        <w:rPr>
          <w:rFonts w:asciiTheme="minorHAnsi" w:hAnsiTheme="minorHAnsi" w:cstheme="minorHAnsi"/>
          <w:b/>
          <w:szCs w:val="20"/>
        </w:rPr>
      </w:pPr>
      <w:r w:rsidRPr="00E444A9">
        <w:rPr>
          <w:rFonts w:asciiTheme="minorHAnsi" w:hAnsiTheme="minorHAnsi" w:cstheme="minorHAnsi"/>
          <w:b/>
          <w:szCs w:val="20"/>
        </w:rPr>
        <w:t>XXIII.- Los dictámenes de las auditorías que se practiquen a los sujetos obligados;</w:t>
      </w:r>
    </w:p>
    <w:p w:rsidR="00C5653B" w:rsidRPr="00E444A9" w:rsidRDefault="00C5653B" w:rsidP="00C5653B">
      <w:pPr>
        <w:jc w:val="both"/>
        <w:rPr>
          <w:rFonts w:asciiTheme="minorHAnsi" w:hAnsiTheme="minorHAnsi" w:cstheme="minorHAnsi"/>
          <w:szCs w:val="20"/>
        </w:rPr>
      </w:pPr>
      <w:r w:rsidRPr="00E444A9">
        <w:rPr>
          <w:rFonts w:asciiTheme="minorHAnsi" w:hAnsiTheme="minorHAnsi" w:cstheme="minorHAnsi"/>
          <w:szCs w:val="20"/>
        </w:rPr>
        <w:lastRenderedPageBreak/>
        <w:t xml:space="preserve">Se recomienda publicar información de los dictámenes de la cuenta pública realizados por el Órgano Superior de Fiscalización del Estado de Baja California y en su caso de auditores externos. Para el caso del Poder Legislativo se encuentra disponible para su consulta el correspondiente al ejercicio 2009 en el siguiente enlace: </w:t>
      </w:r>
      <w:hyperlink r:id="rId8" w:history="1">
        <w:r w:rsidRPr="00E444A9">
          <w:rPr>
            <w:rStyle w:val="Hipervnculo"/>
            <w:rFonts w:asciiTheme="minorHAnsi" w:hAnsiTheme="minorHAnsi"/>
            <w:color w:val="auto"/>
          </w:rPr>
          <w:t>http://www.ofsbc.gob.mx/ArchivosInternet%5C0246270347-363PODER%20LEGISLATIVO%202009.pdf</w:t>
        </w:r>
      </w:hyperlink>
      <w:r w:rsidRPr="00E444A9">
        <w:rPr>
          <w:rFonts w:asciiTheme="minorHAnsi" w:hAnsiTheme="minorHAnsi" w:cstheme="minorHAnsi"/>
          <w:szCs w:val="20"/>
        </w:rPr>
        <w:t xml:space="preserve"> </w:t>
      </w:r>
    </w:p>
    <w:p w:rsidR="00C5653B" w:rsidRPr="00E444A9" w:rsidRDefault="00C5653B" w:rsidP="00C5653B">
      <w:pPr>
        <w:pStyle w:val="Prrafodelista"/>
        <w:numPr>
          <w:ilvl w:val="0"/>
          <w:numId w:val="41"/>
        </w:numPr>
        <w:jc w:val="both"/>
        <w:rPr>
          <w:rFonts w:asciiTheme="minorHAnsi" w:hAnsiTheme="minorHAnsi" w:cstheme="minorHAnsi"/>
          <w:szCs w:val="20"/>
        </w:rPr>
      </w:pPr>
      <w:r w:rsidRPr="00E444A9">
        <w:rPr>
          <w:rFonts w:asciiTheme="minorHAnsi" w:hAnsiTheme="minorHAnsi" w:cstheme="minorHAnsi"/>
          <w:szCs w:val="20"/>
        </w:rPr>
        <w:t xml:space="preserve">Se recomienda señalar el tipo de auditoría (integral, específica, de programas, de desempeño, de control, de seguimiento y otras, </w:t>
      </w:r>
      <w:r w:rsidRPr="00E444A9">
        <w:rPr>
          <w:rFonts w:asciiTheme="minorHAnsi" w:hAnsiTheme="minorHAnsi" w:cstheme="minorHAnsi"/>
          <w:b/>
          <w:szCs w:val="20"/>
        </w:rPr>
        <w:t>NO ATENDIDA</w:t>
      </w:r>
    </w:p>
    <w:p w:rsidR="00C5653B" w:rsidRPr="00E444A9" w:rsidRDefault="00C5653B" w:rsidP="00C5653B">
      <w:pPr>
        <w:pStyle w:val="Prrafodelista"/>
        <w:numPr>
          <w:ilvl w:val="0"/>
          <w:numId w:val="41"/>
        </w:numPr>
        <w:jc w:val="both"/>
        <w:rPr>
          <w:rFonts w:asciiTheme="minorHAnsi" w:hAnsiTheme="minorHAnsi" w:cstheme="minorHAnsi"/>
          <w:szCs w:val="20"/>
        </w:rPr>
      </w:pPr>
      <w:r w:rsidRPr="00E444A9">
        <w:rPr>
          <w:rFonts w:asciiTheme="minorHAnsi" w:hAnsiTheme="minorHAnsi" w:cstheme="minorHAnsi"/>
          <w:szCs w:val="20"/>
        </w:rPr>
        <w:t xml:space="preserve">observaciones solventadas y  </w:t>
      </w:r>
      <w:r w:rsidRPr="00E444A9">
        <w:rPr>
          <w:rFonts w:asciiTheme="minorHAnsi" w:hAnsiTheme="minorHAnsi" w:cstheme="minorHAnsi"/>
          <w:b/>
          <w:szCs w:val="20"/>
        </w:rPr>
        <w:t>NO ATENDIDA</w:t>
      </w:r>
    </w:p>
    <w:p w:rsidR="00C5653B" w:rsidRPr="00E444A9" w:rsidRDefault="00C5653B" w:rsidP="00C5653B">
      <w:pPr>
        <w:pStyle w:val="Prrafodelista"/>
        <w:numPr>
          <w:ilvl w:val="0"/>
          <w:numId w:val="41"/>
        </w:numPr>
        <w:jc w:val="both"/>
        <w:rPr>
          <w:rFonts w:asciiTheme="minorHAnsi" w:hAnsiTheme="minorHAnsi" w:cstheme="minorHAnsi"/>
          <w:szCs w:val="20"/>
        </w:rPr>
      </w:pPr>
      <w:r w:rsidRPr="00E444A9">
        <w:rPr>
          <w:rFonts w:asciiTheme="minorHAnsi" w:hAnsiTheme="minorHAnsi" w:cstheme="minorHAnsi"/>
          <w:szCs w:val="20"/>
        </w:rPr>
        <w:t>publicar un vínculo a copia íntegra del informe de auditoría o dictamen.</w:t>
      </w:r>
      <w:r w:rsidRPr="00E444A9">
        <w:rPr>
          <w:rFonts w:asciiTheme="minorHAnsi" w:hAnsiTheme="minorHAnsi" w:cstheme="minorHAnsi"/>
          <w:b/>
          <w:szCs w:val="20"/>
        </w:rPr>
        <w:t xml:space="preserve">  ATENDIDA</w:t>
      </w:r>
    </w:p>
    <w:p w:rsidR="00C5653B" w:rsidRPr="00E444A9" w:rsidRDefault="00C5653B" w:rsidP="00C5653B">
      <w:pPr>
        <w:pStyle w:val="Prrafodelista"/>
        <w:numPr>
          <w:ilvl w:val="0"/>
          <w:numId w:val="41"/>
        </w:numPr>
        <w:jc w:val="both"/>
        <w:rPr>
          <w:rFonts w:asciiTheme="minorHAnsi" w:hAnsiTheme="minorHAnsi" w:cstheme="minorHAnsi"/>
          <w:b/>
          <w:szCs w:val="20"/>
        </w:rPr>
      </w:pPr>
      <w:r w:rsidRPr="00E444A9">
        <w:rPr>
          <w:rFonts w:asciiTheme="minorHAnsi" w:hAnsiTheme="minorHAnsi" w:cstheme="minorHAnsi"/>
          <w:szCs w:val="20"/>
        </w:rPr>
        <w:t>Se recomienda actualizar la información de acuerdo a los plazos señalados en la fracción IV del artículo 12 de la LTAIPBC,  la cual establece que esta fracción deberá ser actualizada de forma permanente.</w:t>
      </w:r>
      <w:r w:rsidRPr="00E444A9">
        <w:rPr>
          <w:rFonts w:asciiTheme="minorHAnsi" w:hAnsiTheme="minorHAnsi" w:cstheme="minorHAnsi"/>
          <w:b/>
          <w:szCs w:val="20"/>
        </w:rPr>
        <w:t xml:space="preserve"> ATENDIDA</w:t>
      </w:r>
    </w:p>
    <w:p w:rsidR="00C5653B" w:rsidRPr="00E444A9" w:rsidRDefault="00C5653B" w:rsidP="00C5653B">
      <w:pPr>
        <w:jc w:val="both"/>
        <w:rPr>
          <w:rFonts w:asciiTheme="minorHAnsi" w:hAnsiTheme="minorHAnsi" w:cstheme="minorHAnsi"/>
          <w:b/>
          <w:szCs w:val="20"/>
        </w:rPr>
      </w:pPr>
    </w:p>
    <w:p w:rsidR="00C5653B" w:rsidRPr="00E444A9" w:rsidRDefault="00C5653B" w:rsidP="00C5653B">
      <w:pPr>
        <w:jc w:val="both"/>
        <w:rPr>
          <w:rFonts w:asciiTheme="minorHAnsi" w:hAnsiTheme="minorHAnsi" w:cstheme="minorHAnsi"/>
          <w:b/>
          <w:szCs w:val="20"/>
        </w:rPr>
      </w:pPr>
      <w:r w:rsidRPr="00E444A9">
        <w:rPr>
          <w:rFonts w:asciiTheme="minorHAnsi" w:hAnsiTheme="minorHAnsi" w:cstheme="minorHAnsi"/>
          <w:b/>
          <w:szCs w:val="20"/>
        </w:rPr>
        <w:t>XXIV.-Los informes que por disposición legal generen los sujetos obligados; y</w:t>
      </w:r>
    </w:p>
    <w:p w:rsidR="00C5653B" w:rsidRPr="00E444A9" w:rsidRDefault="00C5653B" w:rsidP="00C5653B">
      <w:pPr>
        <w:jc w:val="both"/>
        <w:rPr>
          <w:rFonts w:asciiTheme="minorHAnsi" w:hAnsiTheme="minorHAnsi" w:cstheme="minorHAnsi"/>
          <w:szCs w:val="20"/>
        </w:rPr>
      </w:pPr>
      <w:r w:rsidRPr="00E444A9">
        <w:rPr>
          <w:rFonts w:asciiTheme="minorHAnsi" w:hAnsiTheme="minorHAnsi" w:cstheme="minorHAnsi"/>
          <w:szCs w:val="20"/>
        </w:rPr>
        <w:tab/>
        <w:t>No se emiten recomendaciones con respecto a esta fracción.</w:t>
      </w:r>
    </w:p>
    <w:p w:rsidR="00C5653B" w:rsidRPr="00E444A9" w:rsidRDefault="00C5653B" w:rsidP="00C5653B">
      <w:pPr>
        <w:jc w:val="both"/>
        <w:rPr>
          <w:rFonts w:asciiTheme="minorHAnsi" w:hAnsiTheme="minorHAnsi" w:cstheme="minorHAnsi"/>
          <w:b/>
          <w:szCs w:val="20"/>
        </w:rPr>
      </w:pPr>
    </w:p>
    <w:p w:rsidR="00C5653B" w:rsidRPr="00E444A9" w:rsidRDefault="00C5653B" w:rsidP="00C5653B">
      <w:pPr>
        <w:jc w:val="both"/>
        <w:rPr>
          <w:rFonts w:asciiTheme="minorHAnsi" w:hAnsiTheme="minorHAnsi" w:cstheme="minorHAnsi"/>
          <w:b/>
          <w:szCs w:val="20"/>
        </w:rPr>
      </w:pPr>
      <w:r w:rsidRPr="00E444A9">
        <w:rPr>
          <w:rFonts w:asciiTheme="minorHAnsi" w:hAnsiTheme="minorHAnsi" w:cstheme="minorHAnsi"/>
          <w:b/>
          <w:szCs w:val="20"/>
        </w:rPr>
        <w:t>XXV.- Cualquier otra información que sea de utilidad o se considere relevante, además de aquella que, con base en la información estadística, responda a las preguntas formuladas con más frecuencia por el público.</w:t>
      </w:r>
    </w:p>
    <w:p w:rsidR="00C5653B" w:rsidRPr="00E444A9" w:rsidRDefault="00C5653B" w:rsidP="00C5653B">
      <w:pPr>
        <w:jc w:val="both"/>
        <w:rPr>
          <w:rFonts w:asciiTheme="minorHAnsi" w:hAnsiTheme="minorHAnsi" w:cstheme="minorHAnsi"/>
          <w:szCs w:val="20"/>
        </w:rPr>
      </w:pPr>
      <w:r w:rsidRPr="00E444A9">
        <w:rPr>
          <w:rFonts w:asciiTheme="minorHAnsi" w:hAnsiTheme="minorHAnsi" w:cstheme="minorHAnsi"/>
          <w:szCs w:val="20"/>
        </w:rPr>
        <w:tab/>
        <w:t>No se emiten recomendaciones con respecto a esta fracción.</w:t>
      </w:r>
    </w:p>
    <w:p w:rsidR="00C5653B" w:rsidRPr="00E444A9" w:rsidRDefault="00C5653B" w:rsidP="00C5653B">
      <w:pPr>
        <w:jc w:val="both"/>
        <w:rPr>
          <w:rFonts w:asciiTheme="minorHAnsi" w:hAnsiTheme="minorHAnsi" w:cstheme="minorHAnsi"/>
          <w:szCs w:val="20"/>
        </w:rPr>
      </w:pPr>
    </w:p>
    <w:p w:rsidR="00C5653B" w:rsidRPr="00E444A9" w:rsidRDefault="00C5653B" w:rsidP="00C5653B">
      <w:pPr>
        <w:jc w:val="both"/>
        <w:rPr>
          <w:rFonts w:asciiTheme="minorHAnsi" w:hAnsiTheme="minorHAnsi" w:cstheme="minorHAnsi"/>
          <w:szCs w:val="20"/>
        </w:rPr>
      </w:pPr>
    </w:p>
    <w:p w:rsidR="00C5653B" w:rsidRPr="00E444A9" w:rsidRDefault="00C5653B" w:rsidP="00C5653B">
      <w:pPr>
        <w:jc w:val="both"/>
        <w:rPr>
          <w:rFonts w:asciiTheme="minorHAnsi" w:hAnsiTheme="minorHAnsi" w:cstheme="minorHAnsi"/>
          <w:szCs w:val="20"/>
        </w:rPr>
      </w:pPr>
    </w:p>
    <w:p w:rsidR="00C5653B" w:rsidRPr="00E444A9" w:rsidRDefault="00C5653B" w:rsidP="00C5653B">
      <w:pPr>
        <w:tabs>
          <w:tab w:val="left" w:pos="1758"/>
        </w:tabs>
        <w:jc w:val="both"/>
        <w:rPr>
          <w:rFonts w:asciiTheme="minorHAnsi" w:hAnsiTheme="minorHAnsi" w:cstheme="minorHAnsi"/>
          <w:szCs w:val="20"/>
        </w:rPr>
      </w:pPr>
      <w:r w:rsidRPr="00E444A9">
        <w:rPr>
          <w:rFonts w:asciiTheme="minorHAnsi" w:hAnsiTheme="minorHAnsi" w:cstheme="minorHAnsi"/>
          <w:szCs w:val="20"/>
        </w:rPr>
        <w:tab/>
      </w:r>
    </w:p>
    <w:p w:rsidR="00C5653B" w:rsidRPr="00E444A9" w:rsidRDefault="00C5653B" w:rsidP="00C5653B">
      <w:pPr>
        <w:tabs>
          <w:tab w:val="left" w:pos="1758"/>
        </w:tabs>
        <w:jc w:val="both"/>
        <w:rPr>
          <w:rFonts w:asciiTheme="minorHAnsi" w:hAnsiTheme="minorHAnsi" w:cstheme="minorHAnsi"/>
          <w:szCs w:val="20"/>
        </w:rPr>
      </w:pPr>
    </w:p>
    <w:p w:rsidR="00C5653B" w:rsidRPr="00E444A9" w:rsidRDefault="00C5653B" w:rsidP="00C5653B">
      <w:pPr>
        <w:tabs>
          <w:tab w:val="left" w:pos="1758"/>
        </w:tabs>
        <w:jc w:val="both"/>
        <w:rPr>
          <w:rFonts w:asciiTheme="minorHAnsi" w:hAnsiTheme="minorHAnsi" w:cstheme="minorHAnsi"/>
          <w:szCs w:val="20"/>
        </w:rPr>
      </w:pPr>
    </w:p>
    <w:p w:rsidR="00C5653B" w:rsidRPr="00E444A9" w:rsidRDefault="00C5653B" w:rsidP="00C5653B">
      <w:pPr>
        <w:tabs>
          <w:tab w:val="left" w:pos="1758"/>
        </w:tabs>
        <w:jc w:val="both"/>
        <w:rPr>
          <w:rFonts w:asciiTheme="minorHAnsi" w:hAnsiTheme="minorHAnsi" w:cstheme="minorHAnsi"/>
          <w:szCs w:val="20"/>
        </w:rPr>
      </w:pPr>
    </w:p>
    <w:p w:rsidR="00C5653B" w:rsidRPr="00E444A9" w:rsidRDefault="00C5653B" w:rsidP="00C5653B">
      <w:pPr>
        <w:tabs>
          <w:tab w:val="left" w:pos="1758"/>
        </w:tabs>
        <w:jc w:val="both"/>
        <w:rPr>
          <w:rFonts w:asciiTheme="minorHAnsi" w:hAnsiTheme="minorHAnsi" w:cstheme="minorHAnsi"/>
          <w:szCs w:val="20"/>
        </w:rPr>
      </w:pPr>
    </w:p>
    <w:p w:rsidR="00C5653B" w:rsidRPr="00E444A9" w:rsidRDefault="00DC7E1A" w:rsidP="00C5653B">
      <w:pPr>
        <w:jc w:val="both"/>
        <w:rPr>
          <w:rFonts w:asciiTheme="minorHAnsi" w:hAnsiTheme="minorHAnsi"/>
          <w:b/>
          <w:lang w:eastAsia="es-MX"/>
        </w:rPr>
      </w:pPr>
      <w:r w:rsidRPr="00E444A9">
        <w:rPr>
          <w:rFonts w:asciiTheme="minorHAnsi" w:hAnsiTheme="minorHAnsi"/>
          <w:b/>
          <w:lang w:eastAsia="es-MX"/>
        </w:rPr>
        <w:lastRenderedPageBreak/>
        <w:t>A</w:t>
      </w:r>
      <w:r w:rsidR="00C5653B" w:rsidRPr="00E444A9">
        <w:rPr>
          <w:rFonts w:asciiTheme="minorHAnsi" w:hAnsiTheme="minorHAnsi"/>
          <w:b/>
          <w:lang w:eastAsia="es-MX"/>
        </w:rPr>
        <w:t>rtículo 13.- Además de la información contenida en el artículo 11 que le resulte aplicable, el Poder Legislativo deberá dar a conocer:</w:t>
      </w:r>
    </w:p>
    <w:p w:rsidR="00C5653B" w:rsidRPr="00E444A9" w:rsidRDefault="00C5653B" w:rsidP="00C5653B">
      <w:pPr>
        <w:jc w:val="both"/>
        <w:rPr>
          <w:rFonts w:asciiTheme="minorHAnsi" w:hAnsiTheme="minorHAnsi"/>
          <w:b/>
          <w:lang w:eastAsia="es-MX"/>
        </w:rPr>
      </w:pPr>
      <w:r w:rsidRPr="00E444A9">
        <w:rPr>
          <w:rFonts w:asciiTheme="minorHAnsi" w:hAnsiTheme="minorHAnsi"/>
          <w:b/>
          <w:lang w:eastAsia="es-MX"/>
        </w:rPr>
        <w:t>I.- Las leyes, decretos, acuerdos de los órganos de gobierno y proposiciones con punto de acuerdo que haya expedido;</w:t>
      </w:r>
    </w:p>
    <w:p w:rsidR="00C5653B" w:rsidRPr="00E444A9" w:rsidRDefault="00C5653B" w:rsidP="00C5653B">
      <w:pPr>
        <w:jc w:val="both"/>
        <w:rPr>
          <w:rFonts w:asciiTheme="minorHAnsi" w:hAnsiTheme="minorHAnsi" w:cstheme="minorHAnsi"/>
          <w:szCs w:val="20"/>
        </w:rPr>
      </w:pPr>
      <w:r w:rsidRPr="00E444A9">
        <w:rPr>
          <w:rFonts w:asciiTheme="minorHAnsi" w:hAnsiTheme="minorHAnsi" w:cstheme="minorHAnsi"/>
          <w:szCs w:val="20"/>
        </w:rPr>
        <w:t>No se emiten recomendaciones con respecto a esta fracción.</w:t>
      </w:r>
    </w:p>
    <w:p w:rsidR="00C5653B" w:rsidRPr="00E444A9" w:rsidRDefault="00C5653B" w:rsidP="00C5653B">
      <w:pPr>
        <w:jc w:val="both"/>
        <w:rPr>
          <w:rFonts w:asciiTheme="minorHAnsi" w:hAnsiTheme="minorHAnsi"/>
          <w:b/>
          <w:lang w:eastAsia="es-MX"/>
        </w:rPr>
      </w:pPr>
    </w:p>
    <w:p w:rsidR="00C5653B" w:rsidRPr="00E444A9" w:rsidRDefault="00C5653B" w:rsidP="00C5653B">
      <w:pPr>
        <w:jc w:val="both"/>
        <w:rPr>
          <w:rFonts w:asciiTheme="minorHAnsi" w:hAnsiTheme="minorHAnsi"/>
          <w:b/>
          <w:lang w:eastAsia="es-MX"/>
        </w:rPr>
      </w:pPr>
      <w:r w:rsidRPr="00E444A9">
        <w:rPr>
          <w:rFonts w:asciiTheme="minorHAnsi" w:hAnsiTheme="minorHAnsi"/>
          <w:b/>
          <w:lang w:eastAsia="es-MX"/>
        </w:rPr>
        <w:t>II.-  El  Plan  de  Desarrollo  Legislativo,  así  como  las  agendas  legislativas correspondientes a los Grupos Parlamentarios y Diputados que cuenten con un escaño en el Congreso del Estado;</w:t>
      </w:r>
    </w:p>
    <w:p w:rsidR="00C5653B" w:rsidRPr="00E444A9" w:rsidRDefault="00C5653B" w:rsidP="00C5653B">
      <w:pPr>
        <w:pStyle w:val="Prrafodelista"/>
        <w:numPr>
          <w:ilvl w:val="0"/>
          <w:numId w:val="42"/>
        </w:numPr>
        <w:jc w:val="both"/>
        <w:rPr>
          <w:rFonts w:asciiTheme="minorHAnsi" w:hAnsiTheme="minorHAnsi"/>
          <w:lang w:eastAsia="es-MX"/>
        </w:rPr>
      </w:pPr>
      <w:r w:rsidRPr="00E444A9">
        <w:rPr>
          <w:rFonts w:asciiTheme="minorHAnsi" w:hAnsiTheme="minorHAnsi"/>
          <w:lang w:eastAsia="es-MX"/>
        </w:rPr>
        <w:t>Se recomienda publicar la agenda legislativa del Partido de la Revolución Democrática.</w:t>
      </w:r>
      <w:r w:rsidRPr="00E444A9">
        <w:rPr>
          <w:rFonts w:asciiTheme="minorHAnsi" w:hAnsiTheme="minorHAnsi" w:cstheme="minorHAnsi"/>
          <w:b/>
          <w:szCs w:val="20"/>
        </w:rPr>
        <w:t xml:space="preserve"> NO ATENDIDA</w:t>
      </w:r>
    </w:p>
    <w:p w:rsidR="00C5653B" w:rsidRPr="00E444A9" w:rsidRDefault="00C5653B" w:rsidP="00C5653B">
      <w:pPr>
        <w:pStyle w:val="Prrafodelista"/>
        <w:numPr>
          <w:ilvl w:val="0"/>
          <w:numId w:val="42"/>
        </w:numPr>
        <w:jc w:val="both"/>
        <w:rPr>
          <w:rFonts w:asciiTheme="minorHAnsi" w:hAnsiTheme="minorHAnsi"/>
          <w:lang w:eastAsia="es-MX"/>
        </w:rPr>
      </w:pPr>
      <w:r w:rsidRPr="00E444A9">
        <w:rPr>
          <w:rFonts w:asciiTheme="minorHAnsi" w:hAnsiTheme="minorHAnsi"/>
          <w:lang w:eastAsia="es-MX"/>
        </w:rPr>
        <w:t xml:space="preserve">Se recomienda publicar enlace el documento denominado Plan de Desarrollo Legislativo de la XXI Legislatura, el cual se encuentra actualmente disponible en la fracción I del artículo 11. </w:t>
      </w:r>
      <w:r w:rsidRPr="00E444A9">
        <w:rPr>
          <w:rFonts w:asciiTheme="minorHAnsi" w:hAnsiTheme="minorHAnsi" w:cstheme="minorHAnsi"/>
          <w:b/>
          <w:szCs w:val="20"/>
        </w:rPr>
        <w:t>ATENDIDA</w:t>
      </w:r>
    </w:p>
    <w:p w:rsidR="00C5653B" w:rsidRPr="00E444A9" w:rsidRDefault="00C5653B" w:rsidP="00C5653B">
      <w:pPr>
        <w:pStyle w:val="Prrafodelista"/>
        <w:jc w:val="both"/>
        <w:rPr>
          <w:rFonts w:asciiTheme="minorHAnsi" w:hAnsiTheme="minorHAnsi"/>
          <w:lang w:eastAsia="es-MX"/>
        </w:rPr>
      </w:pPr>
    </w:p>
    <w:p w:rsidR="00C5653B" w:rsidRPr="00E444A9" w:rsidRDefault="00C5653B" w:rsidP="00C5653B">
      <w:pPr>
        <w:jc w:val="both"/>
        <w:rPr>
          <w:rFonts w:asciiTheme="minorHAnsi" w:hAnsiTheme="minorHAnsi"/>
          <w:b/>
          <w:lang w:eastAsia="es-MX"/>
        </w:rPr>
      </w:pPr>
      <w:r w:rsidRPr="00E444A9">
        <w:rPr>
          <w:rFonts w:asciiTheme="minorHAnsi" w:hAnsiTheme="minorHAnsi"/>
          <w:b/>
          <w:lang w:eastAsia="es-MX"/>
        </w:rPr>
        <w:t>III.-  Las  convocatorias  y  lista  de  asistencia  de  los  Diputados,  al  pleno, comisiones y comités, así como sus actas, acuerdos y resoluciones;</w:t>
      </w:r>
    </w:p>
    <w:p w:rsidR="00C5653B" w:rsidRPr="00E444A9" w:rsidRDefault="00C5653B" w:rsidP="00C5653B">
      <w:pPr>
        <w:pStyle w:val="Prrafodelista"/>
        <w:numPr>
          <w:ilvl w:val="0"/>
          <w:numId w:val="43"/>
        </w:numPr>
        <w:jc w:val="both"/>
        <w:rPr>
          <w:rFonts w:asciiTheme="minorHAnsi" w:hAnsiTheme="minorHAnsi"/>
          <w:lang w:eastAsia="es-MX"/>
        </w:rPr>
      </w:pPr>
      <w:r w:rsidRPr="00E444A9">
        <w:rPr>
          <w:rFonts w:asciiTheme="minorHAnsi" w:hAnsiTheme="minorHAnsi"/>
          <w:lang w:eastAsia="es-MX"/>
        </w:rPr>
        <w:t>Se recomienda publicar información referente a las convocatorias, así como la asistencia a comisiones o comités.</w:t>
      </w:r>
      <w:r w:rsidRPr="00E444A9">
        <w:rPr>
          <w:rFonts w:asciiTheme="minorHAnsi" w:hAnsiTheme="minorHAnsi" w:cstheme="minorHAnsi"/>
          <w:b/>
          <w:szCs w:val="20"/>
        </w:rPr>
        <w:t xml:space="preserve"> NO ATENDIDA</w:t>
      </w:r>
    </w:p>
    <w:p w:rsidR="00C5653B" w:rsidRPr="00E444A9" w:rsidRDefault="00C5653B" w:rsidP="00C5653B">
      <w:pPr>
        <w:pStyle w:val="Prrafodelista"/>
        <w:ind w:left="1068"/>
        <w:jc w:val="both"/>
        <w:rPr>
          <w:rFonts w:asciiTheme="minorHAnsi" w:hAnsiTheme="minorHAnsi"/>
          <w:lang w:eastAsia="es-MX"/>
        </w:rPr>
      </w:pPr>
    </w:p>
    <w:p w:rsidR="00C5653B" w:rsidRPr="00E444A9" w:rsidRDefault="00C5653B" w:rsidP="00C5653B">
      <w:pPr>
        <w:jc w:val="both"/>
        <w:rPr>
          <w:rFonts w:asciiTheme="minorHAnsi" w:hAnsiTheme="minorHAnsi"/>
          <w:b/>
          <w:lang w:eastAsia="es-MX"/>
        </w:rPr>
      </w:pPr>
      <w:r w:rsidRPr="00E444A9">
        <w:rPr>
          <w:rFonts w:asciiTheme="minorHAnsi" w:hAnsiTheme="minorHAnsi"/>
          <w:b/>
          <w:lang w:eastAsia="es-MX"/>
        </w:rPr>
        <w:t>IV.-  Las  iniciativas  de  ley,  decreto  y  proposiciones  con  punto  de  acuerdo económico y cualquier otra disposición de carácter general, incluyendo en cada caso el nombre o nombres de quienes las presentan, la fecha en que se recibió, la comisión o comisiones a las que hubiere sido turnada, así como el estado que guardan en su caso los  dictámenes  que  recaigan     las  mismas,  Clasificándolas  por  grupo parlamentario o por Diputado;</w:t>
      </w:r>
    </w:p>
    <w:p w:rsidR="00C5653B" w:rsidRPr="00E444A9" w:rsidRDefault="00C5653B" w:rsidP="00C5653B">
      <w:pPr>
        <w:jc w:val="both"/>
        <w:rPr>
          <w:rFonts w:asciiTheme="minorHAnsi" w:hAnsiTheme="minorHAnsi" w:cstheme="minorHAnsi"/>
          <w:szCs w:val="20"/>
        </w:rPr>
      </w:pPr>
      <w:r w:rsidRPr="00E444A9">
        <w:rPr>
          <w:rFonts w:asciiTheme="minorHAnsi" w:hAnsiTheme="minorHAnsi" w:cstheme="minorHAnsi"/>
          <w:szCs w:val="20"/>
        </w:rPr>
        <w:t>No se emiten recomendaciones con respecto a esta fracción.</w:t>
      </w:r>
    </w:p>
    <w:p w:rsidR="00C5653B" w:rsidRPr="00E444A9" w:rsidRDefault="00C5653B" w:rsidP="00C5653B">
      <w:pPr>
        <w:jc w:val="both"/>
        <w:rPr>
          <w:rFonts w:asciiTheme="minorHAnsi" w:hAnsiTheme="minorHAnsi"/>
          <w:lang w:eastAsia="es-MX"/>
        </w:rPr>
      </w:pPr>
    </w:p>
    <w:p w:rsidR="00C5653B" w:rsidRPr="00E444A9" w:rsidRDefault="00C5653B" w:rsidP="00C5653B">
      <w:pPr>
        <w:jc w:val="both"/>
        <w:rPr>
          <w:rFonts w:asciiTheme="minorHAnsi" w:hAnsiTheme="minorHAnsi"/>
          <w:b/>
          <w:lang w:eastAsia="es-MX"/>
        </w:rPr>
      </w:pPr>
      <w:r w:rsidRPr="00E444A9">
        <w:rPr>
          <w:rFonts w:asciiTheme="minorHAnsi" w:hAnsiTheme="minorHAnsi"/>
          <w:b/>
          <w:lang w:eastAsia="es-MX"/>
        </w:rPr>
        <w:t>V.-  La  votación  obtenida  en  los  dictámenes  y  acuerdos  sometidos  al  Pleno  y demás órganos de trabajo, con expresión del sentido del voto de Diputados a favor, en contra y en abstención, referida con el nombre de quien lo haya emitido, salvo que sea votación secreta en términos de la Ley respectiva;</w:t>
      </w:r>
    </w:p>
    <w:p w:rsidR="00C5653B" w:rsidRPr="00E444A9" w:rsidRDefault="00C5653B" w:rsidP="00C5653B">
      <w:pPr>
        <w:jc w:val="both"/>
        <w:rPr>
          <w:rFonts w:asciiTheme="minorHAnsi" w:hAnsiTheme="minorHAnsi" w:cstheme="minorHAnsi"/>
          <w:szCs w:val="20"/>
        </w:rPr>
      </w:pPr>
      <w:r w:rsidRPr="00E444A9">
        <w:rPr>
          <w:rFonts w:asciiTheme="minorHAnsi" w:hAnsiTheme="minorHAnsi" w:cstheme="minorHAnsi"/>
          <w:szCs w:val="20"/>
        </w:rPr>
        <w:lastRenderedPageBreak/>
        <w:t>No se emiten recomendaciones con respecto a esta fracción.</w:t>
      </w:r>
    </w:p>
    <w:p w:rsidR="00715107" w:rsidRPr="00E444A9" w:rsidRDefault="00715107" w:rsidP="00C5653B">
      <w:pPr>
        <w:jc w:val="both"/>
        <w:rPr>
          <w:rFonts w:asciiTheme="minorHAnsi" w:hAnsiTheme="minorHAnsi" w:cstheme="minorHAnsi"/>
          <w:szCs w:val="20"/>
        </w:rPr>
      </w:pPr>
    </w:p>
    <w:p w:rsidR="00C5653B" w:rsidRPr="00E444A9" w:rsidRDefault="00C5653B" w:rsidP="00C5653B">
      <w:pPr>
        <w:jc w:val="both"/>
        <w:rPr>
          <w:rFonts w:asciiTheme="minorHAnsi" w:hAnsiTheme="minorHAnsi"/>
          <w:b/>
          <w:lang w:eastAsia="es-MX"/>
        </w:rPr>
      </w:pPr>
      <w:r w:rsidRPr="00E444A9">
        <w:rPr>
          <w:rFonts w:asciiTheme="minorHAnsi" w:hAnsiTheme="minorHAnsi"/>
          <w:b/>
          <w:lang w:eastAsia="es-MX"/>
        </w:rPr>
        <w:t>VI.- El Diario de los Debates de la Legislatura y la Gaceta Parlamentaria;</w:t>
      </w:r>
    </w:p>
    <w:p w:rsidR="00C5653B" w:rsidRPr="00E444A9" w:rsidRDefault="00C5653B" w:rsidP="00C5653B">
      <w:pPr>
        <w:jc w:val="both"/>
        <w:rPr>
          <w:rFonts w:asciiTheme="minorHAnsi" w:hAnsiTheme="minorHAnsi" w:cstheme="minorHAnsi"/>
          <w:szCs w:val="20"/>
        </w:rPr>
      </w:pPr>
      <w:r w:rsidRPr="00E444A9">
        <w:rPr>
          <w:rFonts w:asciiTheme="minorHAnsi" w:hAnsiTheme="minorHAnsi" w:cstheme="minorHAnsi"/>
          <w:szCs w:val="20"/>
        </w:rPr>
        <w:t>No se emiten recomendaciones con respecto a esta fracción.</w:t>
      </w:r>
    </w:p>
    <w:p w:rsidR="00C5653B" w:rsidRPr="00E444A9" w:rsidRDefault="00C5653B" w:rsidP="00C5653B">
      <w:pPr>
        <w:jc w:val="both"/>
        <w:rPr>
          <w:rFonts w:asciiTheme="minorHAnsi" w:hAnsiTheme="minorHAnsi"/>
          <w:b/>
          <w:lang w:eastAsia="es-MX"/>
        </w:rPr>
      </w:pPr>
    </w:p>
    <w:p w:rsidR="00C5653B" w:rsidRPr="00E444A9" w:rsidRDefault="00C5653B" w:rsidP="00C5653B">
      <w:pPr>
        <w:jc w:val="both"/>
        <w:rPr>
          <w:rFonts w:asciiTheme="minorHAnsi" w:hAnsiTheme="minorHAnsi"/>
          <w:b/>
          <w:lang w:eastAsia="es-MX"/>
        </w:rPr>
      </w:pPr>
      <w:r w:rsidRPr="00E444A9">
        <w:rPr>
          <w:rFonts w:asciiTheme="minorHAnsi" w:hAnsiTheme="minorHAnsi"/>
          <w:b/>
          <w:lang w:eastAsia="es-MX"/>
        </w:rPr>
        <w:t>VII.-  Los documentos presentados al Pleno conforme al orden del día de las sesiones  ordinarias  y  extraordinarias,  mismos  que  serán  clasificados  por  sesión  y deberán ser copia fiel  de su original,  debiendo publicarse en el portal dentro de las cuarenta y ocho horas siguientes a su presentación;</w:t>
      </w:r>
    </w:p>
    <w:p w:rsidR="00C5653B" w:rsidRPr="00E444A9" w:rsidRDefault="00C5653B" w:rsidP="00C5653B">
      <w:pPr>
        <w:jc w:val="both"/>
        <w:rPr>
          <w:rFonts w:asciiTheme="minorHAnsi" w:hAnsiTheme="minorHAnsi" w:cstheme="minorHAnsi"/>
          <w:szCs w:val="20"/>
        </w:rPr>
      </w:pPr>
      <w:r w:rsidRPr="00E444A9">
        <w:rPr>
          <w:rFonts w:asciiTheme="minorHAnsi" w:hAnsiTheme="minorHAnsi" w:cstheme="minorHAnsi"/>
          <w:szCs w:val="20"/>
        </w:rPr>
        <w:t>No se emiten recomendaciones con respecto a esta fracción.</w:t>
      </w:r>
    </w:p>
    <w:p w:rsidR="00C5653B" w:rsidRPr="00E444A9" w:rsidRDefault="00C5653B" w:rsidP="00C5653B">
      <w:pPr>
        <w:jc w:val="both"/>
        <w:rPr>
          <w:rFonts w:asciiTheme="minorHAnsi" w:hAnsiTheme="minorHAnsi"/>
          <w:b/>
          <w:lang w:eastAsia="es-MX"/>
        </w:rPr>
      </w:pPr>
    </w:p>
    <w:p w:rsidR="00C5653B" w:rsidRPr="00E444A9" w:rsidRDefault="00C5653B" w:rsidP="00C5653B">
      <w:pPr>
        <w:jc w:val="both"/>
        <w:rPr>
          <w:rFonts w:asciiTheme="minorHAnsi" w:hAnsiTheme="minorHAnsi"/>
          <w:b/>
          <w:lang w:eastAsia="es-MX"/>
        </w:rPr>
      </w:pPr>
      <w:r w:rsidRPr="00E444A9">
        <w:rPr>
          <w:rFonts w:asciiTheme="minorHAnsi" w:hAnsiTheme="minorHAnsi"/>
          <w:b/>
          <w:lang w:eastAsia="es-MX"/>
        </w:rPr>
        <w:t>VIII.- Las actas de las sesiones, dictámenes y acuerdos del pleno;</w:t>
      </w:r>
    </w:p>
    <w:p w:rsidR="00C5653B" w:rsidRPr="00E444A9" w:rsidRDefault="00C5653B" w:rsidP="00C5653B">
      <w:pPr>
        <w:jc w:val="both"/>
        <w:rPr>
          <w:rFonts w:asciiTheme="minorHAnsi" w:hAnsiTheme="minorHAnsi" w:cstheme="minorHAnsi"/>
          <w:szCs w:val="20"/>
        </w:rPr>
      </w:pPr>
      <w:r w:rsidRPr="00E444A9">
        <w:rPr>
          <w:rFonts w:asciiTheme="minorHAnsi" w:hAnsiTheme="minorHAnsi" w:cstheme="minorHAnsi"/>
          <w:szCs w:val="20"/>
        </w:rPr>
        <w:t>No se emiten recomendaciones con respecto a esta fracción.</w:t>
      </w:r>
    </w:p>
    <w:p w:rsidR="00C5653B" w:rsidRPr="00E444A9" w:rsidRDefault="00C5653B" w:rsidP="00C5653B">
      <w:pPr>
        <w:jc w:val="both"/>
        <w:rPr>
          <w:rFonts w:asciiTheme="minorHAnsi" w:hAnsiTheme="minorHAnsi"/>
          <w:b/>
          <w:lang w:eastAsia="es-MX"/>
        </w:rPr>
      </w:pPr>
    </w:p>
    <w:p w:rsidR="00C5653B" w:rsidRPr="00E444A9" w:rsidRDefault="00C5653B" w:rsidP="00C5653B">
      <w:pPr>
        <w:jc w:val="both"/>
        <w:rPr>
          <w:rFonts w:asciiTheme="minorHAnsi" w:hAnsiTheme="minorHAnsi"/>
          <w:b/>
          <w:lang w:eastAsia="es-MX"/>
        </w:rPr>
      </w:pPr>
      <w:r w:rsidRPr="00E444A9">
        <w:rPr>
          <w:rFonts w:asciiTheme="minorHAnsi" w:hAnsiTheme="minorHAnsi"/>
          <w:b/>
          <w:lang w:eastAsia="es-MX"/>
        </w:rPr>
        <w:t>IX.- Los Informes del Órgano Superior de Fiscalización sobre la revisión de las cuentas públicas;</w:t>
      </w:r>
    </w:p>
    <w:p w:rsidR="00C5653B" w:rsidRPr="00E444A9" w:rsidRDefault="00C5653B" w:rsidP="00C5653B">
      <w:pPr>
        <w:jc w:val="both"/>
        <w:rPr>
          <w:rFonts w:asciiTheme="minorHAnsi" w:hAnsiTheme="minorHAnsi" w:cstheme="minorHAnsi"/>
          <w:szCs w:val="20"/>
        </w:rPr>
      </w:pPr>
      <w:r w:rsidRPr="00E444A9">
        <w:rPr>
          <w:rFonts w:asciiTheme="minorHAnsi" w:hAnsiTheme="minorHAnsi" w:cstheme="minorHAnsi"/>
          <w:szCs w:val="20"/>
        </w:rPr>
        <w:t>No se emiten recomendaciones con respecto a esta fracción.</w:t>
      </w:r>
    </w:p>
    <w:p w:rsidR="00C5653B" w:rsidRPr="00E444A9" w:rsidRDefault="00C5653B" w:rsidP="00C5653B">
      <w:pPr>
        <w:jc w:val="both"/>
        <w:rPr>
          <w:rFonts w:asciiTheme="minorHAnsi" w:hAnsiTheme="minorHAnsi"/>
          <w:b/>
          <w:lang w:eastAsia="es-MX"/>
        </w:rPr>
      </w:pPr>
    </w:p>
    <w:p w:rsidR="00C5653B" w:rsidRPr="00E444A9" w:rsidRDefault="00C5653B" w:rsidP="00C5653B">
      <w:pPr>
        <w:jc w:val="both"/>
        <w:rPr>
          <w:rFonts w:asciiTheme="minorHAnsi" w:hAnsiTheme="minorHAnsi"/>
          <w:b/>
          <w:lang w:eastAsia="es-MX"/>
        </w:rPr>
      </w:pPr>
      <w:r w:rsidRPr="00E444A9">
        <w:rPr>
          <w:rFonts w:asciiTheme="minorHAnsi" w:hAnsiTheme="minorHAnsi"/>
          <w:b/>
          <w:lang w:eastAsia="es-MX"/>
        </w:rPr>
        <w:t>X.-  La  información  relativa  a  la  estructura,  directorio  y  nombres,  así  como programas  de  trabajo,  resultados  de  desempeño  y  proyectos  realizados  por  los  Institutos pertenecientes al Congreso del Estado;</w:t>
      </w:r>
    </w:p>
    <w:p w:rsidR="00C5653B" w:rsidRPr="00E444A9" w:rsidRDefault="00C5653B" w:rsidP="00C5653B">
      <w:pPr>
        <w:pStyle w:val="Prrafodelista"/>
        <w:numPr>
          <w:ilvl w:val="0"/>
          <w:numId w:val="44"/>
        </w:numPr>
        <w:jc w:val="both"/>
        <w:rPr>
          <w:rStyle w:val="Textoennegrita"/>
          <w:b w:val="0"/>
          <w:bCs w:val="0"/>
        </w:rPr>
      </w:pPr>
      <w:r w:rsidRPr="00E444A9">
        <w:rPr>
          <w:rFonts w:asciiTheme="minorHAnsi" w:hAnsiTheme="minorHAnsi"/>
          <w:lang w:eastAsia="es-MX"/>
        </w:rPr>
        <w:t xml:space="preserve">Se recomienda publicar información respecto a los programas de trabajo tanto del </w:t>
      </w:r>
      <w:r w:rsidRPr="00E444A9">
        <w:rPr>
          <w:rStyle w:val="Textoennegrita"/>
          <w:rFonts w:asciiTheme="minorHAnsi" w:hAnsiTheme="minorHAnsi"/>
          <w:b w:val="0"/>
        </w:rPr>
        <w:t xml:space="preserve">Instituto de Estudios Legislativos como del Instituto de Opinión Ciudadana, Estudios Económicos y Sociales. </w:t>
      </w:r>
      <w:r w:rsidRPr="00E444A9">
        <w:rPr>
          <w:rFonts w:asciiTheme="minorHAnsi" w:hAnsiTheme="minorHAnsi" w:cstheme="minorHAnsi"/>
          <w:b/>
          <w:szCs w:val="20"/>
        </w:rPr>
        <w:t>NO ATENDIDA</w:t>
      </w:r>
    </w:p>
    <w:p w:rsidR="00C5653B" w:rsidRPr="00E444A9" w:rsidRDefault="00C5653B" w:rsidP="00C5653B">
      <w:pPr>
        <w:pStyle w:val="Prrafodelista"/>
        <w:numPr>
          <w:ilvl w:val="0"/>
          <w:numId w:val="44"/>
        </w:numPr>
        <w:jc w:val="both"/>
        <w:rPr>
          <w:rStyle w:val="Textoennegrita"/>
          <w:rFonts w:asciiTheme="minorHAnsi" w:hAnsiTheme="minorHAnsi"/>
          <w:b w:val="0"/>
          <w:bCs w:val="0"/>
          <w:lang w:eastAsia="es-MX"/>
        </w:rPr>
      </w:pPr>
      <w:r w:rsidRPr="00E444A9">
        <w:rPr>
          <w:rStyle w:val="Textoennegrita"/>
          <w:rFonts w:asciiTheme="minorHAnsi" w:hAnsiTheme="minorHAnsi"/>
          <w:b w:val="0"/>
        </w:rPr>
        <w:t>Con respecto al Instituto de Opinión Ciudadana se recomienda publicar adicionalmente información respecto a la estructura, directorio y nombres.</w:t>
      </w:r>
      <w:r w:rsidRPr="00E444A9">
        <w:rPr>
          <w:rFonts w:asciiTheme="minorHAnsi" w:hAnsiTheme="minorHAnsi" w:cstheme="minorHAnsi"/>
          <w:szCs w:val="20"/>
        </w:rPr>
        <w:t xml:space="preserve"> </w:t>
      </w:r>
      <w:r w:rsidRPr="00E444A9">
        <w:rPr>
          <w:rFonts w:asciiTheme="minorHAnsi" w:hAnsiTheme="minorHAnsi" w:cstheme="minorHAnsi"/>
          <w:b/>
          <w:szCs w:val="20"/>
        </w:rPr>
        <w:t>NO ATENDIDA</w:t>
      </w:r>
    </w:p>
    <w:p w:rsidR="00C5653B" w:rsidRPr="00E444A9" w:rsidRDefault="00C5653B" w:rsidP="00C5653B">
      <w:pPr>
        <w:jc w:val="both"/>
      </w:pPr>
    </w:p>
    <w:p w:rsidR="00C5653B" w:rsidRPr="00E444A9" w:rsidRDefault="00C5653B" w:rsidP="00C5653B">
      <w:pPr>
        <w:jc w:val="both"/>
        <w:rPr>
          <w:rFonts w:asciiTheme="minorHAnsi" w:hAnsiTheme="minorHAnsi"/>
          <w:b/>
          <w:lang w:eastAsia="es-MX"/>
        </w:rPr>
      </w:pPr>
      <w:r w:rsidRPr="00E444A9">
        <w:rPr>
          <w:rFonts w:asciiTheme="minorHAnsi" w:hAnsiTheme="minorHAnsi"/>
          <w:b/>
          <w:lang w:eastAsia="es-MX"/>
        </w:rPr>
        <w:t>XI.-  Las  resoluciones  definitivas  sobre  juicios  políticos  y  de  declaratorias  de procedencia penal, una vez que hayan causado estado;</w:t>
      </w:r>
    </w:p>
    <w:p w:rsidR="00C5653B" w:rsidRPr="00E444A9" w:rsidRDefault="00C5653B" w:rsidP="00C5653B">
      <w:pPr>
        <w:jc w:val="both"/>
        <w:rPr>
          <w:rFonts w:asciiTheme="minorHAnsi" w:hAnsiTheme="minorHAnsi" w:cstheme="minorHAnsi"/>
          <w:szCs w:val="20"/>
        </w:rPr>
      </w:pPr>
      <w:r w:rsidRPr="00E444A9">
        <w:rPr>
          <w:rFonts w:asciiTheme="minorHAnsi" w:hAnsiTheme="minorHAnsi" w:cstheme="minorHAnsi"/>
          <w:szCs w:val="20"/>
        </w:rPr>
        <w:lastRenderedPageBreak/>
        <w:tab/>
        <w:t>No se emiten recomendaciones con respecto a esta fracción.</w:t>
      </w:r>
    </w:p>
    <w:p w:rsidR="00C5653B" w:rsidRPr="00E444A9" w:rsidRDefault="00C5653B" w:rsidP="00C5653B">
      <w:pPr>
        <w:jc w:val="both"/>
        <w:rPr>
          <w:rFonts w:asciiTheme="minorHAnsi" w:hAnsiTheme="minorHAnsi"/>
          <w:lang w:eastAsia="es-MX"/>
        </w:rPr>
      </w:pPr>
    </w:p>
    <w:p w:rsidR="00C5653B" w:rsidRPr="00E444A9" w:rsidRDefault="00C5653B" w:rsidP="00C5653B">
      <w:pPr>
        <w:jc w:val="both"/>
        <w:rPr>
          <w:rFonts w:asciiTheme="minorHAnsi" w:hAnsiTheme="minorHAnsi"/>
          <w:b/>
          <w:lang w:eastAsia="es-MX"/>
        </w:rPr>
      </w:pPr>
      <w:r w:rsidRPr="00E444A9">
        <w:rPr>
          <w:rFonts w:asciiTheme="minorHAnsi" w:hAnsiTheme="minorHAnsi"/>
          <w:b/>
          <w:lang w:eastAsia="es-MX"/>
        </w:rPr>
        <w:t>XII.-  Las dietas de los legisladores y las partidas presupuestales asignadas a los  Grupos  Parlamentarios,  las  Comisiones  o  Comités,  la  Mesa  Directiva  y  demás órganos del Congreso, así como los responsables de ejercerlas;</w:t>
      </w:r>
    </w:p>
    <w:p w:rsidR="00C5653B" w:rsidRPr="00E444A9" w:rsidRDefault="00C5653B" w:rsidP="00C5653B">
      <w:pPr>
        <w:pStyle w:val="Prrafodelista"/>
        <w:numPr>
          <w:ilvl w:val="0"/>
          <w:numId w:val="45"/>
        </w:numPr>
        <w:jc w:val="both"/>
        <w:rPr>
          <w:rFonts w:asciiTheme="minorHAnsi" w:hAnsiTheme="minorHAnsi"/>
          <w:lang w:eastAsia="es-MX"/>
        </w:rPr>
      </w:pPr>
      <w:r w:rsidRPr="00E444A9">
        <w:rPr>
          <w:rFonts w:asciiTheme="minorHAnsi" w:hAnsiTheme="minorHAnsi"/>
          <w:lang w:eastAsia="es-MX"/>
        </w:rPr>
        <w:t>Se recomienda publicar información referente a las partidas presupuestales asignadas a los  Grupos  Parlamentarios,  las  Comisiones  o  Comités,  la  Mesa  Directiva  y  demás órganos del Congreso, así como los responsables de ejercerlas;</w:t>
      </w:r>
      <w:r w:rsidRPr="00E444A9">
        <w:rPr>
          <w:rFonts w:asciiTheme="minorHAnsi" w:hAnsiTheme="minorHAnsi" w:cstheme="minorHAnsi"/>
          <w:b/>
          <w:szCs w:val="20"/>
        </w:rPr>
        <w:t xml:space="preserve"> NO ATENDIDA</w:t>
      </w:r>
    </w:p>
    <w:p w:rsidR="00C5653B" w:rsidRPr="00E444A9" w:rsidRDefault="00C5653B" w:rsidP="00C5653B">
      <w:pPr>
        <w:pStyle w:val="Prrafodelista"/>
        <w:jc w:val="both"/>
        <w:rPr>
          <w:rFonts w:asciiTheme="minorHAnsi" w:hAnsiTheme="minorHAnsi"/>
          <w:lang w:eastAsia="es-MX"/>
        </w:rPr>
      </w:pPr>
    </w:p>
    <w:p w:rsidR="00C5653B" w:rsidRPr="00E444A9" w:rsidRDefault="00C5653B" w:rsidP="00C5653B">
      <w:pPr>
        <w:jc w:val="both"/>
        <w:rPr>
          <w:rFonts w:asciiTheme="minorHAnsi" w:hAnsiTheme="minorHAnsi"/>
          <w:b/>
          <w:lang w:eastAsia="es-MX"/>
        </w:rPr>
      </w:pPr>
      <w:r w:rsidRPr="00E444A9">
        <w:rPr>
          <w:rFonts w:asciiTheme="minorHAnsi" w:hAnsiTheme="minorHAnsi"/>
          <w:b/>
          <w:lang w:eastAsia="es-MX"/>
        </w:rPr>
        <w:t>XIII.-  Programas, metas y objetivos de los órganos de apoyo parlamentario y administrativo;</w:t>
      </w:r>
    </w:p>
    <w:p w:rsidR="00C5653B" w:rsidRPr="00E444A9" w:rsidRDefault="00C5653B" w:rsidP="00C5653B">
      <w:pPr>
        <w:pStyle w:val="Prrafodelista"/>
        <w:numPr>
          <w:ilvl w:val="0"/>
          <w:numId w:val="46"/>
        </w:numPr>
        <w:jc w:val="both"/>
        <w:rPr>
          <w:rFonts w:asciiTheme="minorHAnsi" w:hAnsiTheme="minorHAnsi"/>
          <w:lang w:eastAsia="es-MX"/>
        </w:rPr>
      </w:pPr>
      <w:r w:rsidRPr="00E444A9">
        <w:rPr>
          <w:rFonts w:asciiTheme="minorHAnsi" w:hAnsiTheme="minorHAnsi"/>
          <w:lang w:eastAsia="es-MX"/>
        </w:rPr>
        <w:t xml:space="preserve">Se recomienda publicar información referente a los programas, metas y objetivos de los órganos de apoyo parlamentario y administrativo. </w:t>
      </w:r>
      <w:r w:rsidRPr="00E444A9">
        <w:rPr>
          <w:rFonts w:asciiTheme="minorHAnsi" w:hAnsiTheme="minorHAnsi" w:cstheme="minorHAnsi"/>
          <w:b/>
          <w:szCs w:val="20"/>
        </w:rPr>
        <w:t>NO ATENDIDA</w:t>
      </w:r>
    </w:p>
    <w:p w:rsidR="00C5653B" w:rsidRPr="00E444A9" w:rsidRDefault="00C5653B" w:rsidP="00C5653B">
      <w:pPr>
        <w:jc w:val="both"/>
        <w:rPr>
          <w:rFonts w:asciiTheme="minorHAnsi" w:hAnsiTheme="minorHAnsi"/>
          <w:lang w:eastAsia="es-MX"/>
        </w:rPr>
      </w:pPr>
    </w:p>
    <w:p w:rsidR="00C5653B" w:rsidRPr="00E444A9" w:rsidRDefault="00C5653B" w:rsidP="00C5653B">
      <w:pPr>
        <w:jc w:val="both"/>
        <w:rPr>
          <w:rFonts w:asciiTheme="minorHAnsi" w:hAnsiTheme="minorHAnsi"/>
          <w:b/>
          <w:lang w:eastAsia="es-MX"/>
        </w:rPr>
      </w:pPr>
      <w:r w:rsidRPr="00E444A9">
        <w:rPr>
          <w:rFonts w:asciiTheme="minorHAnsi" w:hAnsiTheme="minorHAnsi"/>
          <w:b/>
          <w:lang w:eastAsia="es-MX"/>
        </w:rPr>
        <w:t>XIV.</w:t>
      </w:r>
      <w:r w:rsidR="00B672DD" w:rsidRPr="00E444A9">
        <w:rPr>
          <w:rFonts w:asciiTheme="minorHAnsi" w:hAnsiTheme="minorHAnsi"/>
          <w:b/>
          <w:lang w:eastAsia="es-MX"/>
        </w:rPr>
        <w:t>- Viajes</w:t>
      </w:r>
      <w:r w:rsidRPr="00E444A9">
        <w:rPr>
          <w:rFonts w:asciiTheme="minorHAnsi" w:hAnsiTheme="minorHAnsi"/>
          <w:b/>
          <w:lang w:eastAsia="es-MX"/>
        </w:rPr>
        <w:t xml:space="preserve"> en comisiones oficiales de Diputados y titulares de los órganos de apoyo parlamentario </w:t>
      </w:r>
      <w:r w:rsidR="00B672DD" w:rsidRPr="00E444A9">
        <w:rPr>
          <w:rFonts w:asciiTheme="minorHAnsi" w:hAnsiTheme="minorHAnsi"/>
          <w:b/>
          <w:lang w:eastAsia="es-MX"/>
        </w:rPr>
        <w:t>y administrativo</w:t>
      </w:r>
      <w:r w:rsidRPr="00E444A9">
        <w:rPr>
          <w:rFonts w:asciiTheme="minorHAnsi" w:hAnsiTheme="minorHAnsi"/>
          <w:b/>
          <w:lang w:eastAsia="es-MX"/>
        </w:rPr>
        <w:t xml:space="preserve"> así como de Directivos y demás personal de los Institutos del Congreso del Estado;</w:t>
      </w:r>
    </w:p>
    <w:p w:rsidR="00C5653B" w:rsidRPr="00E444A9" w:rsidRDefault="00C5653B" w:rsidP="00C5653B">
      <w:pPr>
        <w:jc w:val="both"/>
        <w:rPr>
          <w:rFonts w:asciiTheme="minorHAnsi" w:hAnsiTheme="minorHAnsi" w:cstheme="minorHAnsi"/>
          <w:szCs w:val="20"/>
        </w:rPr>
      </w:pPr>
      <w:r w:rsidRPr="00E444A9">
        <w:rPr>
          <w:rFonts w:asciiTheme="minorHAnsi" w:hAnsiTheme="minorHAnsi" w:cstheme="minorHAnsi"/>
          <w:szCs w:val="20"/>
        </w:rPr>
        <w:t>No se emiten recomendaciones con respecto a esta fracción.</w:t>
      </w:r>
    </w:p>
    <w:p w:rsidR="00C5653B" w:rsidRPr="00E444A9" w:rsidRDefault="00C5653B" w:rsidP="00C5653B">
      <w:pPr>
        <w:jc w:val="both"/>
        <w:rPr>
          <w:rFonts w:asciiTheme="minorHAnsi" w:hAnsiTheme="minorHAnsi"/>
          <w:b/>
          <w:lang w:eastAsia="es-MX"/>
        </w:rPr>
      </w:pPr>
    </w:p>
    <w:p w:rsidR="00C5653B" w:rsidRPr="00E444A9" w:rsidRDefault="00C5653B" w:rsidP="00C5653B">
      <w:pPr>
        <w:jc w:val="both"/>
        <w:rPr>
          <w:rFonts w:asciiTheme="minorHAnsi" w:hAnsiTheme="minorHAnsi"/>
          <w:b/>
          <w:lang w:eastAsia="es-MX"/>
        </w:rPr>
      </w:pPr>
      <w:r w:rsidRPr="00E444A9">
        <w:rPr>
          <w:rFonts w:asciiTheme="minorHAnsi" w:hAnsiTheme="minorHAnsi"/>
          <w:b/>
          <w:lang w:eastAsia="es-MX"/>
        </w:rPr>
        <w:t>XV.- Los demás informes que deban presentarse conforme a su Ley Orgánica.</w:t>
      </w:r>
    </w:p>
    <w:p w:rsidR="00C5653B" w:rsidRPr="00E444A9" w:rsidRDefault="00C5653B" w:rsidP="00C5653B">
      <w:pPr>
        <w:pStyle w:val="Prrafodelista"/>
        <w:numPr>
          <w:ilvl w:val="0"/>
          <w:numId w:val="47"/>
        </w:numPr>
        <w:jc w:val="both"/>
        <w:rPr>
          <w:rFonts w:asciiTheme="minorHAnsi" w:hAnsiTheme="minorHAnsi"/>
          <w:lang w:eastAsia="es-MX"/>
        </w:rPr>
      </w:pPr>
      <w:r w:rsidRPr="00E444A9">
        <w:rPr>
          <w:rFonts w:asciiTheme="minorHAnsi" w:hAnsiTheme="minorHAnsi"/>
          <w:lang w:eastAsia="es-MX"/>
        </w:rPr>
        <w:t xml:space="preserve">Se </w:t>
      </w:r>
      <w:r w:rsidR="007A27A0" w:rsidRPr="00E444A9">
        <w:rPr>
          <w:rFonts w:asciiTheme="minorHAnsi" w:hAnsiTheme="minorHAnsi"/>
          <w:lang w:eastAsia="es-MX"/>
        </w:rPr>
        <w:t>recomienda publicar</w:t>
      </w:r>
      <w:r w:rsidRPr="00E444A9">
        <w:rPr>
          <w:rFonts w:asciiTheme="minorHAnsi" w:hAnsiTheme="minorHAnsi"/>
          <w:lang w:eastAsia="es-MX"/>
        </w:rPr>
        <w:t xml:space="preserve"> en esta fracción lo establecido en el numeral 11 del artículo 57 de la Ley Orgánica del Poder Legislativo del Estado de Baja California, el cual hace referencia al informe anual o final de actividades de las Comisiones.</w:t>
      </w:r>
      <w:r w:rsidRPr="00E444A9">
        <w:rPr>
          <w:rFonts w:asciiTheme="minorHAnsi" w:hAnsiTheme="minorHAnsi" w:cstheme="minorHAnsi"/>
          <w:b/>
          <w:szCs w:val="20"/>
        </w:rPr>
        <w:t xml:space="preserve"> NO ATENDIDA</w:t>
      </w:r>
    </w:p>
    <w:p w:rsidR="00C5653B" w:rsidRPr="00E444A9" w:rsidRDefault="00C5653B" w:rsidP="00C5653B">
      <w:pPr>
        <w:jc w:val="both"/>
        <w:rPr>
          <w:rFonts w:asciiTheme="minorHAnsi" w:hAnsiTheme="minorHAnsi"/>
          <w:lang w:eastAsia="es-MX"/>
        </w:rPr>
      </w:pPr>
    </w:p>
    <w:p w:rsidR="00C5653B" w:rsidRPr="00E444A9" w:rsidRDefault="00C5653B" w:rsidP="00C5653B">
      <w:pPr>
        <w:jc w:val="both"/>
        <w:rPr>
          <w:rFonts w:asciiTheme="minorHAnsi" w:hAnsiTheme="minorHAnsi"/>
          <w:lang w:eastAsia="es-MX"/>
        </w:rPr>
      </w:pPr>
    </w:p>
    <w:p w:rsidR="00C5653B" w:rsidRPr="00E444A9" w:rsidRDefault="00C5653B" w:rsidP="00C5653B">
      <w:pPr>
        <w:jc w:val="both"/>
        <w:rPr>
          <w:rFonts w:asciiTheme="minorHAnsi" w:hAnsiTheme="minorHAnsi"/>
          <w:lang w:eastAsia="es-MX"/>
        </w:rPr>
      </w:pPr>
    </w:p>
    <w:p w:rsidR="00C5653B" w:rsidRPr="00E444A9" w:rsidRDefault="00C5653B" w:rsidP="00C5653B">
      <w:pPr>
        <w:jc w:val="both"/>
        <w:rPr>
          <w:rFonts w:asciiTheme="minorHAnsi" w:hAnsiTheme="minorHAnsi"/>
          <w:lang w:eastAsia="es-MX"/>
        </w:rPr>
      </w:pPr>
    </w:p>
    <w:p w:rsidR="00C5653B" w:rsidRPr="00E444A9" w:rsidRDefault="00C5653B" w:rsidP="00C5653B">
      <w:pPr>
        <w:jc w:val="both"/>
        <w:rPr>
          <w:rFonts w:asciiTheme="minorHAnsi" w:hAnsiTheme="minorHAnsi"/>
          <w:lang w:eastAsia="es-MX"/>
        </w:rPr>
      </w:pPr>
    </w:p>
    <w:p w:rsidR="00C5653B" w:rsidRPr="00E444A9" w:rsidRDefault="00C5653B" w:rsidP="00C5653B">
      <w:pPr>
        <w:jc w:val="both"/>
        <w:rPr>
          <w:rFonts w:asciiTheme="minorHAnsi" w:hAnsiTheme="minorHAnsi"/>
          <w:lang w:eastAsia="es-MX"/>
        </w:rPr>
      </w:pPr>
    </w:p>
    <w:p w:rsidR="00C5653B" w:rsidRPr="00E444A9" w:rsidRDefault="00C5653B" w:rsidP="00C5653B">
      <w:pPr>
        <w:jc w:val="both"/>
        <w:rPr>
          <w:rFonts w:asciiTheme="minorHAnsi" w:hAnsiTheme="minorHAnsi"/>
          <w:b/>
          <w:lang w:val="es-ES_tradnl" w:eastAsia="es-MX"/>
        </w:rPr>
      </w:pPr>
      <w:r w:rsidRPr="00E444A9">
        <w:rPr>
          <w:rFonts w:asciiTheme="minorHAnsi" w:hAnsiTheme="minorHAnsi"/>
          <w:b/>
          <w:lang w:val="es-ES_tradnl" w:eastAsia="es-MX"/>
        </w:rPr>
        <w:lastRenderedPageBreak/>
        <w:t>RECOMENDACIONES GENERALES</w:t>
      </w:r>
    </w:p>
    <w:p w:rsidR="00C5653B" w:rsidRPr="00E444A9" w:rsidRDefault="00C5653B" w:rsidP="00C5653B">
      <w:pPr>
        <w:jc w:val="both"/>
        <w:rPr>
          <w:rFonts w:asciiTheme="minorHAnsi" w:hAnsiTheme="minorHAnsi"/>
          <w:lang w:val="es-ES_tradnl" w:eastAsia="es-MX"/>
        </w:rPr>
      </w:pPr>
      <w:r w:rsidRPr="00E444A9">
        <w:rPr>
          <w:rFonts w:asciiTheme="minorHAnsi" w:hAnsiTheme="minorHAnsi"/>
          <w:lang w:val="es-ES_tradnl" w:eastAsia="es-MX"/>
        </w:rPr>
        <w:t>Adicionalmente a las recomendaciones específicas por cada una de las fracciones arriba señaladas, este Órgano Garante le hace llegar las siguientes recomendaciones generales:</w:t>
      </w:r>
    </w:p>
    <w:p w:rsidR="00C5653B" w:rsidRPr="00E444A9" w:rsidRDefault="00C5653B" w:rsidP="00C5653B">
      <w:pPr>
        <w:jc w:val="both"/>
        <w:rPr>
          <w:rFonts w:asciiTheme="minorHAnsi" w:hAnsiTheme="minorHAnsi"/>
          <w:lang w:val="es-ES_tradnl" w:eastAsia="es-MX"/>
        </w:rPr>
      </w:pPr>
    </w:p>
    <w:p w:rsidR="00C5653B" w:rsidRPr="00E444A9" w:rsidRDefault="00C5653B" w:rsidP="00C5653B">
      <w:pPr>
        <w:pStyle w:val="Prrafodelista"/>
        <w:numPr>
          <w:ilvl w:val="0"/>
          <w:numId w:val="48"/>
        </w:numPr>
        <w:jc w:val="both"/>
        <w:rPr>
          <w:rFonts w:asciiTheme="minorHAnsi" w:hAnsiTheme="minorHAnsi"/>
          <w:lang w:eastAsia="es-MX"/>
        </w:rPr>
      </w:pPr>
      <w:r w:rsidRPr="00E444A9">
        <w:rPr>
          <w:rFonts w:asciiTheme="minorHAnsi" w:hAnsiTheme="minorHAnsi"/>
          <w:lang w:eastAsia="es-MX"/>
        </w:rPr>
        <w:t>Se recomienda la revisión detallada de las fechas de actualización reportadas en las fracciones del artículo 13 toda vez que se detectaron fechas anteriores a las fechas que registran los documentos ahí reportados. (ejemplo: fracción VI fecha de actualización 2/dic/2013, fecha del acta de sesión extraordinaria del Pleno 6/may/2014).</w:t>
      </w:r>
      <w:r w:rsidRPr="00E444A9">
        <w:rPr>
          <w:rFonts w:asciiTheme="minorHAnsi" w:hAnsiTheme="minorHAnsi" w:cstheme="minorHAnsi"/>
          <w:b/>
          <w:szCs w:val="20"/>
        </w:rPr>
        <w:t xml:space="preserve"> ATENDIDA</w:t>
      </w:r>
    </w:p>
    <w:p w:rsidR="00C5653B" w:rsidRPr="00E444A9" w:rsidRDefault="00C5653B" w:rsidP="00C5653B">
      <w:pPr>
        <w:pStyle w:val="Prrafodelista"/>
        <w:jc w:val="both"/>
        <w:rPr>
          <w:rFonts w:asciiTheme="minorHAnsi" w:hAnsiTheme="minorHAnsi"/>
          <w:lang w:eastAsia="es-MX"/>
        </w:rPr>
      </w:pPr>
    </w:p>
    <w:p w:rsidR="00C5653B" w:rsidRPr="00E444A9" w:rsidRDefault="00C5653B" w:rsidP="00C5653B">
      <w:pPr>
        <w:jc w:val="center"/>
        <w:rPr>
          <w:rFonts w:asciiTheme="minorHAnsi" w:hAnsiTheme="minorHAnsi" w:cstheme="minorHAnsi"/>
          <w:b/>
        </w:rPr>
      </w:pPr>
    </w:p>
    <w:p w:rsidR="00C5653B" w:rsidRPr="00E444A9" w:rsidRDefault="00C5653B" w:rsidP="00C5653B">
      <w:pPr>
        <w:jc w:val="center"/>
        <w:rPr>
          <w:rFonts w:asciiTheme="minorHAnsi" w:hAnsiTheme="minorHAnsi" w:cstheme="minorHAnsi"/>
          <w:b/>
        </w:rPr>
      </w:pPr>
    </w:p>
    <w:p w:rsidR="00C5653B" w:rsidRPr="00E444A9" w:rsidRDefault="00C5653B" w:rsidP="00C5653B">
      <w:pPr>
        <w:jc w:val="center"/>
        <w:rPr>
          <w:rFonts w:asciiTheme="minorHAnsi" w:hAnsiTheme="minorHAnsi" w:cstheme="minorHAnsi"/>
          <w:b/>
          <w:u w:val="single"/>
        </w:rPr>
      </w:pPr>
      <w:r w:rsidRPr="00E444A9">
        <w:rPr>
          <w:rFonts w:asciiTheme="minorHAnsi" w:hAnsiTheme="minorHAnsi" w:cstheme="minorHAnsi"/>
          <w:b/>
        </w:rPr>
        <w:t>TOTAL DE RECOMENDACIONES EMITIDAS</w:t>
      </w:r>
      <w:r w:rsidRPr="00E444A9">
        <w:rPr>
          <w:rFonts w:asciiTheme="minorHAnsi" w:hAnsiTheme="minorHAnsi" w:cstheme="minorHAnsi"/>
          <w:b/>
          <w:u w:val="single"/>
        </w:rPr>
        <w:t>: 43</w:t>
      </w:r>
    </w:p>
    <w:p w:rsidR="00C5653B" w:rsidRPr="00E444A9" w:rsidRDefault="00C5653B" w:rsidP="00C5653B">
      <w:pPr>
        <w:jc w:val="center"/>
        <w:rPr>
          <w:rFonts w:asciiTheme="minorHAnsi" w:hAnsiTheme="minorHAnsi" w:cstheme="minorHAnsi"/>
          <w:b/>
        </w:rPr>
      </w:pPr>
      <w:r w:rsidRPr="00E444A9">
        <w:rPr>
          <w:rFonts w:asciiTheme="minorHAnsi" w:hAnsiTheme="minorHAnsi" w:cstheme="minorHAnsi"/>
          <w:b/>
        </w:rPr>
        <w:t xml:space="preserve">TOTAL DE RECOMENDACIONES ATENDIDAS: </w:t>
      </w:r>
      <w:r w:rsidR="00F2266B" w:rsidRPr="00E444A9">
        <w:rPr>
          <w:rFonts w:asciiTheme="minorHAnsi" w:hAnsiTheme="minorHAnsi" w:cstheme="minorHAnsi"/>
          <w:b/>
        </w:rPr>
        <w:t>20</w:t>
      </w:r>
    </w:p>
    <w:p w:rsidR="00C5653B" w:rsidRPr="00E444A9" w:rsidRDefault="00C5653B" w:rsidP="00C5653B">
      <w:pPr>
        <w:jc w:val="center"/>
        <w:rPr>
          <w:rFonts w:asciiTheme="minorHAnsi" w:hAnsiTheme="minorHAnsi" w:cstheme="minorHAnsi"/>
          <w:b/>
          <w:u w:val="single"/>
        </w:rPr>
      </w:pPr>
      <w:r w:rsidRPr="00E444A9">
        <w:rPr>
          <w:rFonts w:asciiTheme="minorHAnsi" w:hAnsiTheme="minorHAnsi" w:cstheme="minorHAnsi"/>
          <w:b/>
        </w:rPr>
        <w:t>TOTAL DE RECOMENDACIONES NO ATENDIDAS: 2</w:t>
      </w:r>
      <w:r w:rsidR="00F2266B" w:rsidRPr="00E444A9">
        <w:rPr>
          <w:rFonts w:asciiTheme="minorHAnsi" w:hAnsiTheme="minorHAnsi" w:cstheme="minorHAnsi"/>
          <w:b/>
        </w:rPr>
        <w:t>3</w:t>
      </w:r>
    </w:p>
    <w:p w:rsidR="00E474C2" w:rsidRPr="00E444A9" w:rsidRDefault="00E474C2" w:rsidP="00C5653B"/>
    <w:sectPr w:rsidR="00E474C2" w:rsidRPr="00E444A9" w:rsidSect="00D83651">
      <w:headerReference w:type="default" r:id="rId9"/>
      <w:footerReference w:type="default" r:id="rId10"/>
      <w:pgSz w:w="12242" w:h="15842" w:code="1"/>
      <w:pgMar w:top="816" w:right="1469" w:bottom="1418" w:left="1560" w:header="425" w:footer="5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7F2D" w:rsidRDefault="00C27F2D" w:rsidP="00403752">
      <w:pPr>
        <w:spacing w:after="0" w:line="240" w:lineRule="auto"/>
      </w:pPr>
      <w:r>
        <w:separator/>
      </w:r>
    </w:p>
  </w:endnote>
  <w:endnote w:type="continuationSeparator" w:id="0">
    <w:p w:rsidR="00C27F2D" w:rsidRDefault="00C27F2D" w:rsidP="004037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395" w:type="pct"/>
      <w:tblBorders>
        <w:top w:val="single" w:sz="18" w:space="0" w:color="808080"/>
        <w:insideV w:val="single" w:sz="18" w:space="0" w:color="808080"/>
      </w:tblBorders>
      <w:tblLook w:val="04A0"/>
    </w:tblPr>
    <w:tblGrid>
      <w:gridCol w:w="9180"/>
      <w:gridCol w:w="994"/>
    </w:tblGrid>
    <w:tr w:rsidR="00884127" w:rsidRPr="00FA4360" w:rsidTr="00FC79FF">
      <w:tc>
        <w:tcPr>
          <w:tcW w:w="9180" w:type="dxa"/>
        </w:tcPr>
        <w:p w:rsidR="00F0499A" w:rsidRPr="00E224B8" w:rsidRDefault="00F0499A" w:rsidP="00E773C8">
          <w:pPr>
            <w:pStyle w:val="Sinespaciado"/>
            <w:jc w:val="right"/>
            <w:rPr>
              <w:rFonts w:asciiTheme="majorHAnsi" w:hAnsiTheme="majorHAnsi"/>
              <w:b/>
              <w:sz w:val="18"/>
            </w:rPr>
          </w:pPr>
          <w:r w:rsidRPr="00E224B8">
            <w:rPr>
              <w:rFonts w:asciiTheme="majorHAnsi" w:hAnsiTheme="majorHAnsi"/>
              <w:b/>
              <w:sz w:val="18"/>
            </w:rPr>
            <w:t>Instituto de Transparencia y Acceso a la Información Pública del Estado de Baja California</w:t>
          </w:r>
          <w:r w:rsidR="00B65B94" w:rsidRPr="00E224B8">
            <w:rPr>
              <w:rFonts w:asciiTheme="majorHAnsi" w:hAnsiTheme="majorHAnsi"/>
              <w:b/>
              <w:sz w:val="18"/>
            </w:rPr>
            <w:t xml:space="preserve">  </w:t>
          </w:r>
        </w:p>
        <w:p w:rsidR="00BC23BE" w:rsidRDefault="007C0C70" w:rsidP="00E773C8">
          <w:pPr>
            <w:pStyle w:val="Sinespaciado"/>
            <w:jc w:val="right"/>
            <w:rPr>
              <w:rFonts w:asciiTheme="majorHAnsi" w:hAnsiTheme="majorHAnsi"/>
              <w:b/>
              <w:sz w:val="18"/>
            </w:rPr>
          </w:pPr>
          <w:r>
            <w:rPr>
              <w:rFonts w:asciiTheme="majorHAnsi" w:hAnsiTheme="majorHAnsi"/>
              <w:b/>
              <w:sz w:val="18"/>
            </w:rPr>
            <w:t>Coordinación de Evaluación y Seguimiento</w:t>
          </w:r>
        </w:p>
        <w:p w:rsidR="00C26334" w:rsidRDefault="00F0499A" w:rsidP="00E773C8">
          <w:pPr>
            <w:pStyle w:val="Sinespaciado"/>
            <w:jc w:val="right"/>
            <w:rPr>
              <w:rFonts w:asciiTheme="majorHAnsi" w:hAnsiTheme="majorHAnsi"/>
              <w:sz w:val="20"/>
            </w:rPr>
          </w:pPr>
          <w:r w:rsidRPr="00E224B8">
            <w:rPr>
              <w:rFonts w:asciiTheme="majorHAnsi" w:hAnsiTheme="majorHAnsi"/>
              <w:b/>
              <w:sz w:val="18"/>
            </w:rPr>
            <w:t>Fecha de la revisión</w:t>
          </w:r>
          <w:r w:rsidRPr="00E224B8">
            <w:rPr>
              <w:rFonts w:asciiTheme="majorHAnsi" w:hAnsiTheme="majorHAnsi"/>
              <w:sz w:val="18"/>
            </w:rPr>
            <w:t xml:space="preserve">: </w:t>
          </w:r>
          <w:r w:rsidR="00453F86">
            <w:rPr>
              <w:rFonts w:asciiTheme="majorHAnsi" w:hAnsiTheme="majorHAnsi"/>
              <w:sz w:val="18"/>
            </w:rPr>
            <w:t xml:space="preserve">27 de agosto </w:t>
          </w:r>
          <w:r w:rsidR="00411322">
            <w:rPr>
              <w:rFonts w:asciiTheme="majorHAnsi" w:hAnsiTheme="majorHAnsi"/>
              <w:sz w:val="18"/>
            </w:rPr>
            <w:t xml:space="preserve"> de 2014</w:t>
          </w:r>
        </w:p>
        <w:p w:rsidR="00FC79FF" w:rsidRPr="00FA4360" w:rsidRDefault="00FC79FF" w:rsidP="00A741B6">
          <w:pPr>
            <w:pStyle w:val="Sinespaciado"/>
            <w:tabs>
              <w:tab w:val="left" w:pos="1741"/>
            </w:tabs>
            <w:jc w:val="right"/>
            <w:rPr>
              <w:rFonts w:asciiTheme="majorHAnsi" w:hAnsiTheme="majorHAnsi"/>
              <w:sz w:val="20"/>
            </w:rPr>
          </w:pPr>
        </w:p>
        <w:p w:rsidR="00884127" w:rsidRPr="00FA4360" w:rsidRDefault="00F0499A" w:rsidP="00F0499A">
          <w:pPr>
            <w:pStyle w:val="Sinespaciado"/>
            <w:jc w:val="right"/>
            <w:rPr>
              <w:rFonts w:asciiTheme="majorHAnsi" w:hAnsiTheme="majorHAnsi"/>
              <w:sz w:val="20"/>
            </w:rPr>
          </w:pPr>
          <w:r w:rsidRPr="00FA4360">
            <w:rPr>
              <w:rFonts w:asciiTheme="majorHAnsi" w:hAnsiTheme="majorHAnsi"/>
              <w:sz w:val="20"/>
            </w:rPr>
            <w:t xml:space="preserve"> </w:t>
          </w:r>
        </w:p>
      </w:tc>
      <w:tc>
        <w:tcPr>
          <w:tcW w:w="994" w:type="dxa"/>
        </w:tcPr>
        <w:p w:rsidR="001829AA" w:rsidRPr="00E224B8" w:rsidRDefault="001829AA" w:rsidP="001829AA">
          <w:pPr>
            <w:pStyle w:val="Piedepgina"/>
            <w:rPr>
              <w:rFonts w:asciiTheme="majorHAnsi" w:hAnsiTheme="majorHAnsi"/>
              <w:b/>
              <w:sz w:val="18"/>
              <w:szCs w:val="18"/>
            </w:rPr>
          </w:pPr>
        </w:p>
        <w:p w:rsidR="00884127" w:rsidRPr="00E224B8" w:rsidRDefault="00F47A40" w:rsidP="008158FD">
          <w:pPr>
            <w:pStyle w:val="Piedepgina"/>
            <w:rPr>
              <w:rFonts w:asciiTheme="majorHAnsi" w:hAnsiTheme="majorHAnsi"/>
              <w:b/>
              <w:sz w:val="18"/>
              <w:szCs w:val="18"/>
            </w:rPr>
          </w:pPr>
          <w:r w:rsidRPr="00E224B8">
            <w:rPr>
              <w:rFonts w:asciiTheme="majorHAnsi" w:hAnsiTheme="majorHAnsi"/>
              <w:b/>
              <w:sz w:val="18"/>
              <w:szCs w:val="18"/>
            </w:rPr>
            <w:fldChar w:fldCharType="begin"/>
          </w:r>
          <w:r w:rsidR="00FC79FF" w:rsidRPr="00E224B8">
            <w:rPr>
              <w:rFonts w:asciiTheme="majorHAnsi" w:hAnsiTheme="majorHAnsi"/>
              <w:b/>
              <w:sz w:val="18"/>
              <w:szCs w:val="18"/>
            </w:rPr>
            <w:instrText xml:space="preserve"> PAGE   \* MERGEFORMAT </w:instrText>
          </w:r>
          <w:r w:rsidRPr="00E224B8">
            <w:rPr>
              <w:rFonts w:asciiTheme="majorHAnsi" w:hAnsiTheme="majorHAnsi"/>
              <w:b/>
              <w:sz w:val="18"/>
              <w:szCs w:val="18"/>
            </w:rPr>
            <w:fldChar w:fldCharType="separate"/>
          </w:r>
          <w:r w:rsidR="00E444A9">
            <w:rPr>
              <w:rFonts w:asciiTheme="majorHAnsi" w:hAnsiTheme="majorHAnsi"/>
              <w:b/>
              <w:noProof/>
              <w:sz w:val="18"/>
              <w:szCs w:val="18"/>
            </w:rPr>
            <w:t>11</w:t>
          </w:r>
          <w:r w:rsidRPr="00E224B8">
            <w:rPr>
              <w:rFonts w:asciiTheme="majorHAnsi" w:hAnsiTheme="majorHAnsi"/>
              <w:b/>
              <w:noProof/>
              <w:sz w:val="18"/>
              <w:szCs w:val="18"/>
            </w:rPr>
            <w:fldChar w:fldCharType="end"/>
          </w:r>
          <w:r w:rsidR="00FC79FF" w:rsidRPr="00E224B8">
            <w:rPr>
              <w:rFonts w:asciiTheme="majorHAnsi" w:hAnsiTheme="majorHAnsi"/>
              <w:b/>
              <w:noProof/>
              <w:sz w:val="18"/>
              <w:szCs w:val="18"/>
            </w:rPr>
            <w:t xml:space="preserve"> de </w:t>
          </w:r>
          <w:r w:rsidR="001829AA" w:rsidRPr="00E224B8">
            <w:rPr>
              <w:rFonts w:asciiTheme="majorHAnsi" w:hAnsiTheme="majorHAnsi"/>
              <w:b/>
              <w:noProof/>
              <w:sz w:val="18"/>
              <w:szCs w:val="18"/>
            </w:rPr>
            <w:t>1</w:t>
          </w:r>
          <w:r w:rsidR="008158FD">
            <w:rPr>
              <w:rFonts w:asciiTheme="majorHAnsi" w:hAnsiTheme="majorHAnsi"/>
              <w:b/>
              <w:noProof/>
              <w:sz w:val="18"/>
              <w:szCs w:val="18"/>
            </w:rPr>
            <w:t>1</w:t>
          </w:r>
        </w:p>
      </w:tc>
    </w:tr>
  </w:tbl>
  <w:p w:rsidR="00884127" w:rsidRPr="00A64416" w:rsidRDefault="00884127" w:rsidP="00A6441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7F2D" w:rsidRDefault="00C27F2D" w:rsidP="00403752">
      <w:pPr>
        <w:spacing w:after="0" w:line="240" w:lineRule="auto"/>
      </w:pPr>
      <w:r>
        <w:separator/>
      </w:r>
    </w:p>
  </w:footnote>
  <w:footnote w:type="continuationSeparator" w:id="0">
    <w:p w:rsidR="00C27F2D" w:rsidRDefault="00C27F2D" w:rsidP="004037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6175" w:type="pct"/>
      <w:tblInd w:w="-1019" w:type="dxa"/>
      <w:tblBorders>
        <w:bottom w:val="single" w:sz="18" w:space="0" w:color="808080"/>
        <w:insideV w:val="single" w:sz="18" w:space="0" w:color="808080"/>
      </w:tblBorders>
      <w:tblCellMar>
        <w:top w:w="72" w:type="dxa"/>
        <w:left w:w="115" w:type="dxa"/>
        <w:bottom w:w="72" w:type="dxa"/>
        <w:right w:w="115" w:type="dxa"/>
      </w:tblCellMar>
      <w:tblLook w:val="00A0"/>
    </w:tblPr>
    <w:tblGrid>
      <w:gridCol w:w="8906"/>
      <w:gridCol w:w="2756"/>
    </w:tblGrid>
    <w:tr w:rsidR="00884127" w:rsidRPr="00625444" w:rsidTr="00A64416">
      <w:trPr>
        <w:trHeight w:val="1492"/>
      </w:trPr>
      <w:tc>
        <w:tcPr>
          <w:tcW w:w="8552" w:type="dxa"/>
          <w:tcBorders>
            <w:bottom w:val="single" w:sz="18" w:space="0" w:color="808080"/>
          </w:tcBorders>
        </w:tcPr>
        <w:p w:rsidR="00884127" w:rsidRDefault="00884127" w:rsidP="00A64416">
          <w:pPr>
            <w:pStyle w:val="Encabezado"/>
            <w:rPr>
              <w:rFonts w:ascii="Cambria" w:hAnsi="Cambria"/>
              <w:noProof/>
              <w:sz w:val="36"/>
              <w:szCs w:val="36"/>
              <w:lang w:val="es-CL" w:eastAsia="es-CL"/>
            </w:rPr>
          </w:pPr>
          <w:r>
            <w:rPr>
              <w:rFonts w:ascii="Cambria" w:hAnsi="Cambria"/>
              <w:noProof/>
              <w:sz w:val="36"/>
              <w:szCs w:val="36"/>
              <w:lang w:val="es-CL" w:eastAsia="es-CL"/>
            </w:rPr>
            <w:t xml:space="preserve">                                               </w:t>
          </w:r>
        </w:p>
        <w:p w:rsidR="00884127" w:rsidRDefault="00884127" w:rsidP="00A64416">
          <w:pPr>
            <w:pStyle w:val="Encabezado"/>
            <w:rPr>
              <w:rFonts w:ascii="Cambria" w:hAnsi="Cambria"/>
              <w:sz w:val="36"/>
              <w:szCs w:val="36"/>
            </w:rPr>
          </w:pPr>
          <w:r>
            <w:rPr>
              <w:rFonts w:ascii="Cambria" w:hAnsi="Cambria"/>
              <w:noProof/>
              <w:sz w:val="36"/>
              <w:szCs w:val="36"/>
              <w:lang w:val="es-CL" w:eastAsia="es-CL"/>
            </w:rPr>
            <w:t xml:space="preserve">                                                          </w:t>
          </w:r>
          <w:r>
            <w:rPr>
              <w:rFonts w:ascii="Cambria" w:hAnsi="Cambria"/>
              <w:noProof/>
              <w:sz w:val="36"/>
              <w:szCs w:val="36"/>
              <w:lang w:eastAsia="es-MX"/>
            </w:rPr>
            <w:drawing>
              <wp:inline distT="0" distB="0" distL="0" distR="0">
                <wp:extent cx="2286000" cy="723900"/>
                <wp:effectExtent l="0" t="0" r="0" b="0"/>
                <wp:docPr id="4" name="Imagen 2" descr="LOGO_ITAIP_INSTITUCIONAL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_ITAIP_INSTITUCIONAL2.pn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86000" cy="723900"/>
                        </a:xfrm>
                        <a:prstGeom prst="rect">
                          <a:avLst/>
                        </a:prstGeom>
                        <a:noFill/>
                        <a:ln>
                          <a:noFill/>
                        </a:ln>
                      </pic:spPr>
                    </pic:pic>
                  </a:graphicData>
                </a:graphic>
              </wp:inline>
            </w:drawing>
          </w:r>
        </w:p>
      </w:tc>
      <w:tc>
        <w:tcPr>
          <w:tcW w:w="2647" w:type="dxa"/>
          <w:tcBorders>
            <w:bottom w:val="single" w:sz="18" w:space="0" w:color="808080"/>
          </w:tcBorders>
        </w:tcPr>
        <w:p w:rsidR="00884127" w:rsidRDefault="00884127" w:rsidP="00A64416">
          <w:pPr>
            <w:pStyle w:val="Encabezado"/>
            <w:rPr>
              <w:rFonts w:ascii="Cambria" w:hAnsi="Cambria"/>
              <w:b/>
              <w:bCs/>
              <w:color w:val="4F81BD"/>
              <w:sz w:val="36"/>
              <w:szCs w:val="36"/>
            </w:rPr>
          </w:pPr>
          <w:r>
            <w:rPr>
              <w:rFonts w:ascii="Cambria" w:hAnsi="Cambria"/>
              <w:b/>
              <w:bCs/>
              <w:color w:val="4F81BD"/>
              <w:sz w:val="36"/>
              <w:szCs w:val="36"/>
            </w:rPr>
            <w:t xml:space="preserve">     </w:t>
          </w:r>
          <w:r>
            <w:rPr>
              <w:rFonts w:ascii="Cambria" w:hAnsi="Cambria"/>
              <w:b/>
              <w:noProof/>
              <w:color w:val="4F81BD"/>
              <w:sz w:val="36"/>
              <w:szCs w:val="36"/>
              <w:lang w:eastAsia="es-MX"/>
            </w:rPr>
            <w:drawing>
              <wp:inline distT="0" distB="0" distL="0" distR="0">
                <wp:extent cx="593519" cy="853504"/>
                <wp:effectExtent l="114300" t="38100" r="73660" b="137160"/>
                <wp:docPr id="5" name="Imagen 71" descr="http://yoreme.files.wordpress.com/2010/10/1escud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1" descr="http://yoreme.files.wordpress.com/2010/10/1escudo.png"/>
                        <pic:cNvPicPr>
                          <a:picLocks noChangeAspect="1" noChangeArrowheads="1"/>
                        </pic:cNvPicPr>
                      </pic:nvPicPr>
                      <pic:blipFill>
                        <a:blip r:embed="rId2">
                          <a:duotone>
                            <a:schemeClr val="accent4">
                              <a:shade val="45000"/>
                              <a:satMod val="135000"/>
                            </a:schemeClr>
                            <a:prstClr val="white"/>
                          </a:duotone>
                        </a:blip>
                        <a:srcRect/>
                        <a:stretch>
                          <a:fillRect/>
                        </a:stretch>
                      </pic:blipFill>
                      <pic:spPr bwMode="auto">
                        <a:xfrm>
                          <a:off x="0" y="0"/>
                          <a:ext cx="593090" cy="85344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r>
            <w:rPr>
              <w:rFonts w:ascii="Cambria" w:hAnsi="Cambria"/>
              <w:b/>
              <w:bCs/>
              <w:color w:val="4F81BD"/>
              <w:sz w:val="36"/>
              <w:szCs w:val="36"/>
            </w:rPr>
            <w:t xml:space="preserve">  </w:t>
          </w:r>
        </w:p>
      </w:tc>
    </w:tr>
  </w:tbl>
  <w:p w:rsidR="00884127" w:rsidRDefault="00884127">
    <w:pPr>
      <w:pStyle w:val="Encabezado"/>
    </w:pPr>
    <w:r>
      <w:rPr>
        <w:noProof/>
        <w:lang w:eastAsia="es-MX"/>
      </w:rPr>
      <w:drawing>
        <wp:anchor distT="0" distB="0" distL="114300" distR="114300" simplePos="0" relativeHeight="251657728" behindDoc="1" locked="0" layoutInCell="1" allowOverlap="1">
          <wp:simplePos x="0" y="0"/>
          <wp:positionH relativeFrom="column">
            <wp:posOffset>1037590</wp:posOffset>
          </wp:positionH>
          <wp:positionV relativeFrom="paragraph">
            <wp:posOffset>3206115</wp:posOffset>
          </wp:positionV>
          <wp:extent cx="3653155" cy="3657600"/>
          <wp:effectExtent l="0" t="0" r="4445" b="0"/>
          <wp:wrapNone/>
          <wp:docPr id="1" name="1 Imagen" descr="LOGO_ITAIP_LUPA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LOGO_ITAIP_LUPA 3.png"/>
                  <pic:cNvPicPr>
                    <a:picLocks noChangeAspect="1" noChangeArrowheads="1"/>
                  </pic:cNvPicPr>
                </pic:nvPicPr>
                <pic:blipFill>
                  <a:blip r:embed="rId3">
                    <a:lum bright="70000" contrast="-7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53155" cy="365760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225CF"/>
    <w:multiLevelType w:val="hybridMultilevel"/>
    <w:tmpl w:val="B422223E"/>
    <w:lvl w:ilvl="0" w:tplc="F044256A">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nsid w:val="06A76206"/>
    <w:multiLevelType w:val="hybridMultilevel"/>
    <w:tmpl w:val="329ACF22"/>
    <w:lvl w:ilvl="0" w:tplc="2918DA04">
      <w:start w:val="1"/>
      <w:numFmt w:val="decimal"/>
      <w:lvlText w:val="%1)"/>
      <w:lvlJc w:val="left"/>
      <w:pPr>
        <w:ind w:left="1068" w:hanging="360"/>
      </w:pPr>
      <w:rPr>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nsid w:val="07504A17"/>
    <w:multiLevelType w:val="hybridMultilevel"/>
    <w:tmpl w:val="4F1AFA12"/>
    <w:lvl w:ilvl="0" w:tplc="26A8640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EE5CB3"/>
    <w:multiLevelType w:val="hybridMultilevel"/>
    <w:tmpl w:val="281E5C3E"/>
    <w:lvl w:ilvl="0" w:tplc="04090011">
      <w:start w:val="1"/>
      <w:numFmt w:val="decimal"/>
      <w:lvlText w:val="%1)"/>
      <w:lvlJc w:val="left"/>
      <w:pPr>
        <w:ind w:left="1068" w:hanging="360"/>
      </w:pPr>
      <w:rPr>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nsid w:val="0880471D"/>
    <w:multiLevelType w:val="hybridMultilevel"/>
    <w:tmpl w:val="B2DAE7D0"/>
    <w:lvl w:ilvl="0" w:tplc="BE8EE65E">
      <w:start w:val="1"/>
      <w:numFmt w:val="decimal"/>
      <w:lvlText w:val="%1)"/>
      <w:lvlJc w:val="left"/>
      <w:pPr>
        <w:ind w:left="1068"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C8D0162"/>
    <w:multiLevelType w:val="hybridMultilevel"/>
    <w:tmpl w:val="F4D404AE"/>
    <w:lvl w:ilvl="0" w:tplc="FB269FAE">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nsid w:val="22EA215F"/>
    <w:multiLevelType w:val="hybridMultilevel"/>
    <w:tmpl w:val="ED50DF6C"/>
    <w:lvl w:ilvl="0" w:tplc="BE8EE65E">
      <w:start w:val="1"/>
      <w:numFmt w:val="decimal"/>
      <w:lvlText w:val="%1)"/>
      <w:lvlJc w:val="left"/>
      <w:pPr>
        <w:ind w:left="1068"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857416F"/>
    <w:multiLevelType w:val="hybridMultilevel"/>
    <w:tmpl w:val="281E5C3E"/>
    <w:lvl w:ilvl="0" w:tplc="04090011">
      <w:start w:val="1"/>
      <w:numFmt w:val="decimal"/>
      <w:lvlText w:val="%1)"/>
      <w:lvlJc w:val="left"/>
      <w:pPr>
        <w:ind w:left="1068" w:hanging="360"/>
      </w:pPr>
      <w:rPr>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nsid w:val="2A15317D"/>
    <w:multiLevelType w:val="hybridMultilevel"/>
    <w:tmpl w:val="75CC9C2C"/>
    <w:lvl w:ilvl="0" w:tplc="2918DA04">
      <w:start w:val="1"/>
      <w:numFmt w:val="decimal"/>
      <w:lvlText w:val="%1)"/>
      <w:lvlJc w:val="left"/>
      <w:pPr>
        <w:ind w:left="1146" w:hanging="360"/>
      </w:pPr>
      <w:rPr>
        <w:b/>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9">
    <w:nsid w:val="374C2F2B"/>
    <w:multiLevelType w:val="hybridMultilevel"/>
    <w:tmpl w:val="F1C81570"/>
    <w:lvl w:ilvl="0" w:tplc="CABABA2A">
      <w:start w:val="1"/>
      <w:numFmt w:val="decimal"/>
      <w:lvlText w:val="%1)"/>
      <w:lvlJc w:val="left"/>
      <w:pPr>
        <w:ind w:left="1068" w:hanging="360"/>
      </w:pPr>
      <w:rPr>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nsid w:val="375A25DB"/>
    <w:multiLevelType w:val="hybridMultilevel"/>
    <w:tmpl w:val="281E5C3E"/>
    <w:lvl w:ilvl="0" w:tplc="04090011">
      <w:start w:val="1"/>
      <w:numFmt w:val="decimal"/>
      <w:lvlText w:val="%1)"/>
      <w:lvlJc w:val="left"/>
      <w:pPr>
        <w:ind w:left="1068" w:hanging="360"/>
      </w:pPr>
      <w:rPr>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nsid w:val="40CD3235"/>
    <w:multiLevelType w:val="hybridMultilevel"/>
    <w:tmpl w:val="014E8760"/>
    <w:lvl w:ilvl="0" w:tplc="DBFA9022">
      <w:start w:val="1"/>
      <w:numFmt w:val="decimal"/>
      <w:lvlText w:val="%1)"/>
      <w:lvlJc w:val="left"/>
      <w:pPr>
        <w:ind w:left="1068" w:hanging="360"/>
      </w:pPr>
      <w:rPr>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nsid w:val="41756EDA"/>
    <w:multiLevelType w:val="hybridMultilevel"/>
    <w:tmpl w:val="0ECC00AA"/>
    <w:lvl w:ilvl="0" w:tplc="E0F602D8">
      <w:start w:val="1"/>
      <w:numFmt w:val="decimal"/>
      <w:lvlText w:val="%1)"/>
      <w:lvlJc w:val="left"/>
      <w:pPr>
        <w:ind w:left="1068" w:hanging="360"/>
      </w:pPr>
      <w:rPr>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nsid w:val="49324F84"/>
    <w:multiLevelType w:val="hybridMultilevel"/>
    <w:tmpl w:val="332EC25A"/>
    <w:lvl w:ilvl="0" w:tplc="990A7D2A">
      <w:start w:val="1"/>
      <w:numFmt w:val="decimal"/>
      <w:lvlText w:val="%1."/>
      <w:lvlJc w:val="left"/>
      <w:pPr>
        <w:ind w:left="1068" w:hanging="360"/>
      </w:pPr>
      <w:rPr>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nsid w:val="4DBB4924"/>
    <w:multiLevelType w:val="hybridMultilevel"/>
    <w:tmpl w:val="0ECC00AA"/>
    <w:lvl w:ilvl="0" w:tplc="E0F602D8">
      <w:start w:val="1"/>
      <w:numFmt w:val="decimal"/>
      <w:lvlText w:val="%1)"/>
      <w:lvlJc w:val="left"/>
      <w:pPr>
        <w:ind w:left="1068" w:hanging="360"/>
      </w:pPr>
      <w:rPr>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nsid w:val="5117214A"/>
    <w:multiLevelType w:val="hybridMultilevel"/>
    <w:tmpl w:val="A63CC90C"/>
    <w:lvl w:ilvl="0" w:tplc="2918DA04">
      <w:start w:val="1"/>
      <w:numFmt w:val="decimal"/>
      <w:lvlText w:val="%1)"/>
      <w:lvlJc w:val="left"/>
      <w:pPr>
        <w:ind w:left="1068" w:hanging="360"/>
      </w:pPr>
      <w:rPr>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nsid w:val="52584497"/>
    <w:multiLevelType w:val="hybridMultilevel"/>
    <w:tmpl w:val="27D8D108"/>
    <w:lvl w:ilvl="0" w:tplc="BE8EE65E">
      <w:start w:val="1"/>
      <w:numFmt w:val="decimal"/>
      <w:lvlText w:val="%1)"/>
      <w:lvlJc w:val="left"/>
      <w:pPr>
        <w:ind w:left="1068" w:hanging="360"/>
      </w:pPr>
      <w:rPr>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nsid w:val="54AC242A"/>
    <w:multiLevelType w:val="hybridMultilevel"/>
    <w:tmpl w:val="0D583B3C"/>
    <w:lvl w:ilvl="0" w:tplc="B972D828">
      <w:start w:val="1"/>
      <w:numFmt w:val="decimal"/>
      <w:lvlText w:val="%1."/>
      <w:lvlJc w:val="left"/>
      <w:pPr>
        <w:ind w:left="1068" w:hanging="360"/>
      </w:pPr>
      <w:rPr>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nsid w:val="60CE1109"/>
    <w:multiLevelType w:val="hybridMultilevel"/>
    <w:tmpl w:val="442250A0"/>
    <w:lvl w:ilvl="0" w:tplc="7AC8A612">
      <w:start w:val="1"/>
      <w:numFmt w:val="decimal"/>
      <w:lvlText w:val="%1)"/>
      <w:lvlJc w:val="left"/>
      <w:pPr>
        <w:ind w:left="1068" w:hanging="360"/>
      </w:pPr>
      <w:rPr>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nsid w:val="6770796F"/>
    <w:multiLevelType w:val="hybridMultilevel"/>
    <w:tmpl w:val="B0CE5EFA"/>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nsid w:val="67F73BE0"/>
    <w:multiLevelType w:val="hybridMultilevel"/>
    <w:tmpl w:val="5EC086A2"/>
    <w:lvl w:ilvl="0" w:tplc="7DFE1B2E">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nsid w:val="74135CDB"/>
    <w:multiLevelType w:val="hybridMultilevel"/>
    <w:tmpl w:val="AF2493C0"/>
    <w:lvl w:ilvl="0" w:tplc="D69E1BB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48C7526"/>
    <w:multiLevelType w:val="hybridMultilevel"/>
    <w:tmpl w:val="766C700A"/>
    <w:lvl w:ilvl="0" w:tplc="2918DA04">
      <w:start w:val="1"/>
      <w:numFmt w:val="decimal"/>
      <w:lvlText w:val="%1)"/>
      <w:lvlJc w:val="left"/>
      <w:pPr>
        <w:ind w:left="1068" w:hanging="360"/>
      </w:pPr>
      <w:rPr>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nsid w:val="785E774D"/>
    <w:multiLevelType w:val="hybridMultilevel"/>
    <w:tmpl w:val="A366F142"/>
    <w:lvl w:ilvl="0" w:tplc="3A240568">
      <w:start w:val="1"/>
      <w:numFmt w:val="decimal"/>
      <w:lvlText w:val="%1)"/>
      <w:lvlJc w:val="left"/>
      <w:pPr>
        <w:ind w:left="1068" w:hanging="360"/>
      </w:pPr>
      <w:rPr>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nsid w:val="7D322DC3"/>
    <w:multiLevelType w:val="hybridMultilevel"/>
    <w:tmpl w:val="0ECC00AA"/>
    <w:lvl w:ilvl="0" w:tplc="E0F602D8">
      <w:start w:val="1"/>
      <w:numFmt w:val="decimal"/>
      <w:lvlText w:val="%1)"/>
      <w:lvlJc w:val="left"/>
      <w:pPr>
        <w:ind w:left="1068" w:hanging="360"/>
      </w:pPr>
      <w:rPr>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7"/>
  </w:num>
  <w:num w:numId="2">
    <w:abstractNumId w:val="14"/>
  </w:num>
  <w:num w:numId="3">
    <w:abstractNumId w:val="11"/>
  </w:num>
  <w:num w:numId="4">
    <w:abstractNumId w:val="17"/>
  </w:num>
  <w:num w:numId="5">
    <w:abstractNumId w:val="18"/>
  </w:num>
  <w:num w:numId="6">
    <w:abstractNumId w:val="22"/>
  </w:num>
  <w:num w:numId="7">
    <w:abstractNumId w:val="1"/>
  </w:num>
  <w:num w:numId="8">
    <w:abstractNumId w:val="8"/>
  </w:num>
  <w:num w:numId="9">
    <w:abstractNumId w:val="3"/>
  </w:num>
  <w:num w:numId="10">
    <w:abstractNumId w:val="10"/>
  </w:num>
  <w:num w:numId="11">
    <w:abstractNumId w:val="12"/>
  </w:num>
  <w:num w:numId="12">
    <w:abstractNumId w:val="0"/>
  </w:num>
  <w:num w:numId="13">
    <w:abstractNumId w:val="5"/>
  </w:num>
  <w:num w:numId="14">
    <w:abstractNumId w:val="2"/>
  </w:num>
  <w:num w:numId="15">
    <w:abstractNumId w:val="21"/>
  </w:num>
  <w:num w:numId="16">
    <w:abstractNumId w:val="15"/>
  </w:num>
  <w:num w:numId="17">
    <w:abstractNumId w:val="16"/>
  </w:num>
  <w:num w:numId="18">
    <w:abstractNumId w:val="19"/>
  </w:num>
  <w:num w:numId="19">
    <w:abstractNumId w:val="6"/>
  </w:num>
  <w:num w:numId="20">
    <w:abstractNumId w:val="4"/>
  </w:num>
  <w:num w:numId="21">
    <w:abstractNumId w:val="9"/>
  </w:num>
  <w:num w:numId="22">
    <w:abstractNumId w:val="23"/>
  </w:num>
  <w:num w:numId="23">
    <w:abstractNumId w:val="24"/>
  </w:num>
  <w:num w:numId="24">
    <w:abstractNumId w:val="13"/>
  </w:num>
  <w:num w:numId="25">
    <w:abstractNumId w:val="20"/>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hdrShapeDefaults>
    <o:shapedefaults v:ext="edit" spidmax="63490"/>
  </w:hdrShapeDefaults>
  <w:footnotePr>
    <w:footnote w:id="-1"/>
    <w:footnote w:id="0"/>
  </w:footnotePr>
  <w:endnotePr>
    <w:endnote w:id="-1"/>
    <w:endnote w:id="0"/>
  </w:endnotePr>
  <w:compat/>
  <w:rsids>
    <w:rsidRoot w:val="00403752"/>
    <w:rsid w:val="000006F9"/>
    <w:rsid w:val="00000C16"/>
    <w:rsid w:val="00000C64"/>
    <w:rsid w:val="0000101F"/>
    <w:rsid w:val="000017B2"/>
    <w:rsid w:val="00001B04"/>
    <w:rsid w:val="00001EC8"/>
    <w:rsid w:val="00002B58"/>
    <w:rsid w:val="00004C3E"/>
    <w:rsid w:val="000052A3"/>
    <w:rsid w:val="00005315"/>
    <w:rsid w:val="000058AA"/>
    <w:rsid w:val="00007E90"/>
    <w:rsid w:val="00010A00"/>
    <w:rsid w:val="00011343"/>
    <w:rsid w:val="000115DF"/>
    <w:rsid w:val="000116E6"/>
    <w:rsid w:val="00011C55"/>
    <w:rsid w:val="000146E0"/>
    <w:rsid w:val="00017379"/>
    <w:rsid w:val="000179DF"/>
    <w:rsid w:val="00020013"/>
    <w:rsid w:val="00020759"/>
    <w:rsid w:val="000207E1"/>
    <w:rsid w:val="0002124C"/>
    <w:rsid w:val="00022C5D"/>
    <w:rsid w:val="00024917"/>
    <w:rsid w:val="000256E9"/>
    <w:rsid w:val="0002586C"/>
    <w:rsid w:val="00025E69"/>
    <w:rsid w:val="00026539"/>
    <w:rsid w:val="00026D74"/>
    <w:rsid w:val="000276F5"/>
    <w:rsid w:val="00027A35"/>
    <w:rsid w:val="00027C3D"/>
    <w:rsid w:val="00030899"/>
    <w:rsid w:val="00032440"/>
    <w:rsid w:val="000326E9"/>
    <w:rsid w:val="00032ADE"/>
    <w:rsid w:val="00033DA6"/>
    <w:rsid w:val="00033FF8"/>
    <w:rsid w:val="00035AC2"/>
    <w:rsid w:val="000363E5"/>
    <w:rsid w:val="00036640"/>
    <w:rsid w:val="00036CC5"/>
    <w:rsid w:val="00036D17"/>
    <w:rsid w:val="00036D5B"/>
    <w:rsid w:val="00036EA0"/>
    <w:rsid w:val="00037046"/>
    <w:rsid w:val="000377B0"/>
    <w:rsid w:val="00040AFE"/>
    <w:rsid w:val="000414FA"/>
    <w:rsid w:val="0004207B"/>
    <w:rsid w:val="00042D61"/>
    <w:rsid w:val="00044867"/>
    <w:rsid w:val="000448DC"/>
    <w:rsid w:val="000459B2"/>
    <w:rsid w:val="00045D13"/>
    <w:rsid w:val="00046179"/>
    <w:rsid w:val="00046DE5"/>
    <w:rsid w:val="0004725F"/>
    <w:rsid w:val="0005119B"/>
    <w:rsid w:val="000517F2"/>
    <w:rsid w:val="000527C3"/>
    <w:rsid w:val="00052E80"/>
    <w:rsid w:val="00053CE2"/>
    <w:rsid w:val="0005432E"/>
    <w:rsid w:val="00056BC7"/>
    <w:rsid w:val="00056DC4"/>
    <w:rsid w:val="00057340"/>
    <w:rsid w:val="00057C0C"/>
    <w:rsid w:val="00060721"/>
    <w:rsid w:val="00062250"/>
    <w:rsid w:val="000624C4"/>
    <w:rsid w:val="000632CD"/>
    <w:rsid w:val="000640D8"/>
    <w:rsid w:val="0006421F"/>
    <w:rsid w:val="00066FCD"/>
    <w:rsid w:val="00067866"/>
    <w:rsid w:val="0007340E"/>
    <w:rsid w:val="00073ABB"/>
    <w:rsid w:val="000741DB"/>
    <w:rsid w:val="00074C09"/>
    <w:rsid w:val="00075B82"/>
    <w:rsid w:val="0007609D"/>
    <w:rsid w:val="000763B6"/>
    <w:rsid w:val="000769DD"/>
    <w:rsid w:val="000776E2"/>
    <w:rsid w:val="0007779A"/>
    <w:rsid w:val="00080C43"/>
    <w:rsid w:val="00080F53"/>
    <w:rsid w:val="000838A6"/>
    <w:rsid w:val="00083A77"/>
    <w:rsid w:val="000846A5"/>
    <w:rsid w:val="00084A3B"/>
    <w:rsid w:val="00085270"/>
    <w:rsid w:val="000853EA"/>
    <w:rsid w:val="0008546E"/>
    <w:rsid w:val="00086577"/>
    <w:rsid w:val="0008667F"/>
    <w:rsid w:val="00087E2E"/>
    <w:rsid w:val="00091497"/>
    <w:rsid w:val="00092E6A"/>
    <w:rsid w:val="000937BA"/>
    <w:rsid w:val="00095003"/>
    <w:rsid w:val="000978DF"/>
    <w:rsid w:val="000978EB"/>
    <w:rsid w:val="00097BF5"/>
    <w:rsid w:val="000A036D"/>
    <w:rsid w:val="000A3640"/>
    <w:rsid w:val="000A6E53"/>
    <w:rsid w:val="000B0363"/>
    <w:rsid w:val="000B1F68"/>
    <w:rsid w:val="000B20CB"/>
    <w:rsid w:val="000B27ED"/>
    <w:rsid w:val="000B314F"/>
    <w:rsid w:val="000B31FF"/>
    <w:rsid w:val="000B36CF"/>
    <w:rsid w:val="000B5FA5"/>
    <w:rsid w:val="000B6A2C"/>
    <w:rsid w:val="000B79EF"/>
    <w:rsid w:val="000C105B"/>
    <w:rsid w:val="000C258E"/>
    <w:rsid w:val="000C2AF6"/>
    <w:rsid w:val="000C3C2A"/>
    <w:rsid w:val="000C4652"/>
    <w:rsid w:val="000C6718"/>
    <w:rsid w:val="000C7AFF"/>
    <w:rsid w:val="000D1831"/>
    <w:rsid w:val="000D1DEE"/>
    <w:rsid w:val="000D1F3F"/>
    <w:rsid w:val="000D6FE4"/>
    <w:rsid w:val="000E0661"/>
    <w:rsid w:val="000E1A14"/>
    <w:rsid w:val="000E1ED9"/>
    <w:rsid w:val="000E2428"/>
    <w:rsid w:val="000E31AD"/>
    <w:rsid w:val="000E4B8A"/>
    <w:rsid w:val="000E616F"/>
    <w:rsid w:val="000E6327"/>
    <w:rsid w:val="000E6F11"/>
    <w:rsid w:val="000E7C36"/>
    <w:rsid w:val="000F1402"/>
    <w:rsid w:val="000F2565"/>
    <w:rsid w:val="000F3BBE"/>
    <w:rsid w:val="000F5A85"/>
    <w:rsid w:val="000F5EFB"/>
    <w:rsid w:val="000F659E"/>
    <w:rsid w:val="000F7A4E"/>
    <w:rsid w:val="001003DD"/>
    <w:rsid w:val="0010055A"/>
    <w:rsid w:val="00100751"/>
    <w:rsid w:val="00103E2F"/>
    <w:rsid w:val="00104568"/>
    <w:rsid w:val="0010498F"/>
    <w:rsid w:val="00105454"/>
    <w:rsid w:val="001063DC"/>
    <w:rsid w:val="00106678"/>
    <w:rsid w:val="00107170"/>
    <w:rsid w:val="0011044D"/>
    <w:rsid w:val="001113B9"/>
    <w:rsid w:val="00111528"/>
    <w:rsid w:val="00111646"/>
    <w:rsid w:val="00112652"/>
    <w:rsid w:val="00112655"/>
    <w:rsid w:val="0011390E"/>
    <w:rsid w:val="001140F1"/>
    <w:rsid w:val="00114705"/>
    <w:rsid w:val="00115E46"/>
    <w:rsid w:val="00116909"/>
    <w:rsid w:val="00116E84"/>
    <w:rsid w:val="00117C61"/>
    <w:rsid w:val="0012066F"/>
    <w:rsid w:val="00120950"/>
    <w:rsid w:val="00120A77"/>
    <w:rsid w:val="00121C96"/>
    <w:rsid w:val="001221E6"/>
    <w:rsid w:val="00122E1C"/>
    <w:rsid w:val="00124A19"/>
    <w:rsid w:val="0012580B"/>
    <w:rsid w:val="00125DAC"/>
    <w:rsid w:val="00126568"/>
    <w:rsid w:val="00126E55"/>
    <w:rsid w:val="0013020C"/>
    <w:rsid w:val="00130FE5"/>
    <w:rsid w:val="0013154B"/>
    <w:rsid w:val="001321FC"/>
    <w:rsid w:val="00132543"/>
    <w:rsid w:val="00133CF0"/>
    <w:rsid w:val="00133F7F"/>
    <w:rsid w:val="001344E8"/>
    <w:rsid w:val="00134B6B"/>
    <w:rsid w:val="00135134"/>
    <w:rsid w:val="0013599F"/>
    <w:rsid w:val="00137320"/>
    <w:rsid w:val="001407E4"/>
    <w:rsid w:val="00142EF2"/>
    <w:rsid w:val="00142F77"/>
    <w:rsid w:val="00143802"/>
    <w:rsid w:val="00143BA5"/>
    <w:rsid w:val="00143E2D"/>
    <w:rsid w:val="00151B7F"/>
    <w:rsid w:val="00152641"/>
    <w:rsid w:val="00153A6C"/>
    <w:rsid w:val="00154B3F"/>
    <w:rsid w:val="00154C93"/>
    <w:rsid w:val="00154FFD"/>
    <w:rsid w:val="00156B79"/>
    <w:rsid w:val="00156DF4"/>
    <w:rsid w:val="001571C5"/>
    <w:rsid w:val="0015787D"/>
    <w:rsid w:val="00157B99"/>
    <w:rsid w:val="00157D28"/>
    <w:rsid w:val="001600F0"/>
    <w:rsid w:val="00160A18"/>
    <w:rsid w:val="00162264"/>
    <w:rsid w:val="0016323D"/>
    <w:rsid w:val="00163EFB"/>
    <w:rsid w:val="00164F09"/>
    <w:rsid w:val="001658F7"/>
    <w:rsid w:val="00166A00"/>
    <w:rsid w:val="0017031E"/>
    <w:rsid w:val="00170406"/>
    <w:rsid w:val="00171174"/>
    <w:rsid w:val="001716E5"/>
    <w:rsid w:val="00171D21"/>
    <w:rsid w:val="0017267D"/>
    <w:rsid w:val="00174690"/>
    <w:rsid w:val="001748CE"/>
    <w:rsid w:val="00175BFD"/>
    <w:rsid w:val="00177160"/>
    <w:rsid w:val="001829AA"/>
    <w:rsid w:val="001852CA"/>
    <w:rsid w:val="00185407"/>
    <w:rsid w:val="0018600E"/>
    <w:rsid w:val="0018628A"/>
    <w:rsid w:val="00186D97"/>
    <w:rsid w:val="00186FF3"/>
    <w:rsid w:val="0019097C"/>
    <w:rsid w:val="00190AF2"/>
    <w:rsid w:val="001920E6"/>
    <w:rsid w:val="00192D08"/>
    <w:rsid w:val="001938E6"/>
    <w:rsid w:val="00193B99"/>
    <w:rsid w:val="00193DDA"/>
    <w:rsid w:val="00195BC9"/>
    <w:rsid w:val="00195CF9"/>
    <w:rsid w:val="00195F76"/>
    <w:rsid w:val="00196C51"/>
    <w:rsid w:val="001A306B"/>
    <w:rsid w:val="001A340F"/>
    <w:rsid w:val="001A3C24"/>
    <w:rsid w:val="001A6366"/>
    <w:rsid w:val="001A7AA9"/>
    <w:rsid w:val="001B05ED"/>
    <w:rsid w:val="001B0675"/>
    <w:rsid w:val="001B15D9"/>
    <w:rsid w:val="001B1FCE"/>
    <w:rsid w:val="001B3132"/>
    <w:rsid w:val="001B37F4"/>
    <w:rsid w:val="001B3D8C"/>
    <w:rsid w:val="001B53C2"/>
    <w:rsid w:val="001B6ED5"/>
    <w:rsid w:val="001B716A"/>
    <w:rsid w:val="001C0E14"/>
    <w:rsid w:val="001C159B"/>
    <w:rsid w:val="001C5F67"/>
    <w:rsid w:val="001C7274"/>
    <w:rsid w:val="001C74C0"/>
    <w:rsid w:val="001C7E67"/>
    <w:rsid w:val="001D01EC"/>
    <w:rsid w:val="001D0DBD"/>
    <w:rsid w:val="001D0F49"/>
    <w:rsid w:val="001D137D"/>
    <w:rsid w:val="001D1EA5"/>
    <w:rsid w:val="001D3432"/>
    <w:rsid w:val="001D3444"/>
    <w:rsid w:val="001D34F2"/>
    <w:rsid w:val="001D3CB3"/>
    <w:rsid w:val="001D44FB"/>
    <w:rsid w:val="001D4825"/>
    <w:rsid w:val="001D4D38"/>
    <w:rsid w:val="001D670B"/>
    <w:rsid w:val="001D704C"/>
    <w:rsid w:val="001E03F1"/>
    <w:rsid w:val="001E3346"/>
    <w:rsid w:val="001E35E0"/>
    <w:rsid w:val="001E5E5E"/>
    <w:rsid w:val="001E6617"/>
    <w:rsid w:val="001E6D5B"/>
    <w:rsid w:val="001E6FA9"/>
    <w:rsid w:val="001E7F11"/>
    <w:rsid w:val="001E7FA5"/>
    <w:rsid w:val="001F00E8"/>
    <w:rsid w:val="001F244A"/>
    <w:rsid w:val="001F2FF5"/>
    <w:rsid w:val="001F439B"/>
    <w:rsid w:val="001F4865"/>
    <w:rsid w:val="001F500D"/>
    <w:rsid w:val="001F5E63"/>
    <w:rsid w:val="001F6A11"/>
    <w:rsid w:val="001F7C4C"/>
    <w:rsid w:val="001F7CA4"/>
    <w:rsid w:val="00200278"/>
    <w:rsid w:val="0020111C"/>
    <w:rsid w:val="0020117A"/>
    <w:rsid w:val="002036FA"/>
    <w:rsid w:val="00206604"/>
    <w:rsid w:val="002071B2"/>
    <w:rsid w:val="0021078F"/>
    <w:rsid w:val="00210F16"/>
    <w:rsid w:val="0021134E"/>
    <w:rsid w:val="002115CF"/>
    <w:rsid w:val="0021213E"/>
    <w:rsid w:val="00213314"/>
    <w:rsid w:val="00215A95"/>
    <w:rsid w:val="00215EC9"/>
    <w:rsid w:val="002164F8"/>
    <w:rsid w:val="00217ECB"/>
    <w:rsid w:val="0022213F"/>
    <w:rsid w:val="002221C2"/>
    <w:rsid w:val="00223236"/>
    <w:rsid w:val="002238F3"/>
    <w:rsid w:val="00226312"/>
    <w:rsid w:val="00226384"/>
    <w:rsid w:val="00232B9C"/>
    <w:rsid w:val="00232F7A"/>
    <w:rsid w:val="002336B7"/>
    <w:rsid w:val="00234C55"/>
    <w:rsid w:val="00234F92"/>
    <w:rsid w:val="00241950"/>
    <w:rsid w:val="0024649B"/>
    <w:rsid w:val="0024661D"/>
    <w:rsid w:val="00250FCB"/>
    <w:rsid w:val="00251797"/>
    <w:rsid w:val="002532EC"/>
    <w:rsid w:val="00253837"/>
    <w:rsid w:val="002542A4"/>
    <w:rsid w:val="00255AAE"/>
    <w:rsid w:val="002574C0"/>
    <w:rsid w:val="00261755"/>
    <w:rsid w:val="00262AFD"/>
    <w:rsid w:val="00264FF9"/>
    <w:rsid w:val="00265739"/>
    <w:rsid w:val="00265978"/>
    <w:rsid w:val="002661BE"/>
    <w:rsid w:val="00266C2A"/>
    <w:rsid w:val="00267AC1"/>
    <w:rsid w:val="00270AC4"/>
    <w:rsid w:val="00271154"/>
    <w:rsid w:val="0027143E"/>
    <w:rsid w:val="002719E4"/>
    <w:rsid w:val="00272266"/>
    <w:rsid w:val="0027259A"/>
    <w:rsid w:val="00273FCF"/>
    <w:rsid w:val="0027564C"/>
    <w:rsid w:val="00277352"/>
    <w:rsid w:val="00281029"/>
    <w:rsid w:val="002829A8"/>
    <w:rsid w:val="002833B3"/>
    <w:rsid w:val="002837F4"/>
    <w:rsid w:val="00283DA2"/>
    <w:rsid w:val="00284579"/>
    <w:rsid w:val="00284F52"/>
    <w:rsid w:val="0028566C"/>
    <w:rsid w:val="0028703F"/>
    <w:rsid w:val="0028740C"/>
    <w:rsid w:val="00290A72"/>
    <w:rsid w:val="002946BD"/>
    <w:rsid w:val="00294F23"/>
    <w:rsid w:val="00295450"/>
    <w:rsid w:val="002965D8"/>
    <w:rsid w:val="00296A4B"/>
    <w:rsid w:val="002A0004"/>
    <w:rsid w:val="002A04D2"/>
    <w:rsid w:val="002A06DE"/>
    <w:rsid w:val="002A0FE2"/>
    <w:rsid w:val="002A1E61"/>
    <w:rsid w:val="002A2847"/>
    <w:rsid w:val="002A345A"/>
    <w:rsid w:val="002A5226"/>
    <w:rsid w:val="002A66A3"/>
    <w:rsid w:val="002A68A5"/>
    <w:rsid w:val="002A6FE7"/>
    <w:rsid w:val="002A7872"/>
    <w:rsid w:val="002A7A78"/>
    <w:rsid w:val="002A7AC4"/>
    <w:rsid w:val="002B129E"/>
    <w:rsid w:val="002B1C9F"/>
    <w:rsid w:val="002B47E9"/>
    <w:rsid w:val="002B553D"/>
    <w:rsid w:val="002B560E"/>
    <w:rsid w:val="002B7421"/>
    <w:rsid w:val="002C1029"/>
    <w:rsid w:val="002C17EF"/>
    <w:rsid w:val="002C2D97"/>
    <w:rsid w:val="002C3C2C"/>
    <w:rsid w:val="002C7472"/>
    <w:rsid w:val="002D004A"/>
    <w:rsid w:val="002D1303"/>
    <w:rsid w:val="002D18AA"/>
    <w:rsid w:val="002D2D32"/>
    <w:rsid w:val="002D3909"/>
    <w:rsid w:val="002D3B7F"/>
    <w:rsid w:val="002D4499"/>
    <w:rsid w:val="002D6747"/>
    <w:rsid w:val="002D7DC2"/>
    <w:rsid w:val="002E4749"/>
    <w:rsid w:val="002E5839"/>
    <w:rsid w:val="002E7310"/>
    <w:rsid w:val="002E7A31"/>
    <w:rsid w:val="002F040F"/>
    <w:rsid w:val="002F54CB"/>
    <w:rsid w:val="002F733A"/>
    <w:rsid w:val="002F7E57"/>
    <w:rsid w:val="003001BA"/>
    <w:rsid w:val="00300756"/>
    <w:rsid w:val="0030162B"/>
    <w:rsid w:val="00301E7A"/>
    <w:rsid w:val="003057B9"/>
    <w:rsid w:val="00306B84"/>
    <w:rsid w:val="00306D0E"/>
    <w:rsid w:val="0030725A"/>
    <w:rsid w:val="00310748"/>
    <w:rsid w:val="003127A8"/>
    <w:rsid w:val="003152AE"/>
    <w:rsid w:val="00316212"/>
    <w:rsid w:val="00316E70"/>
    <w:rsid w:val="00317650"/>
    <w:rsid w:val="00320F40"/>
    <w:rsid w:val="0032157B"/>
    <w:rsid w:val="003227DC"/>
    <w:rsid w:val="00323029"/>
    <w:rsid w:val="00323CD2"/>
    <w:rsid w:val="00326E41"/>
    <w:rsid w:val="00326E89"/>
    <w:rsid w:val="00327196"/>
    <w:rsid w:val="00330007"/>
    <w:rsid w:val="0033188C"/>
    <w:rsid w:val="00331FFD"/>
    <w:rsid w:val="0033415C"/>
    <w:rsid w:val="00334E93"/>
    <w:rsid w:val="003351B6"/>
    <w:rsid w:val="003351F6"/>
    <w:rsid w:val="00335A4D"/>
    <w:rsid w:val="00336109"/>
    <w:rsid w:val="00337DB9"/>
    <w:rsid w:val="00337F48"/>
    <w:rsid w:val="003404CB"/>
    <w:rsid w:val="003414C7"/>
    <w:rsid w:val="00341DEF"/>
    <w:rsid w:val="00342453"/>
    <w:rsid w:val="0034260D"/>
    <w:rsid w:val="00344C2C"/>
    <w:rsid w:val="003451D6"/>
    <w:rsid w:val="003453A8"/>
    <w:rsid w:val="003456C7"/>
    <w:rsid w:val="00345ECF"/>
    <w:rsid w:val="0034756A"/>
    <w:rsid w:val="00347E80"/>
    <w:rsid w:val="00350349"/>
    <w:rsid w:val="003544DE"/>
    <w:rsid w:val="003568EF"/>
    <w:rsid w:val="003631E6"/>
    <w:rsid w:val="00364E83"/>
    <w:rsid w:val="00365BE8"/>
    <w:rsid w:val="00367B35"/>
    <w:rsid w:val="00370197"/>
    <w:rsid w:val="00370FF7"/>
    <w:rsid w:val="003712FB"/>
    <w:rsid w:val="00371F8C"/>
    <w:rsid w:val="0037377A"/>
    <w:rsid w:val="00373982"/>
    <w:rsid w:val="00373EB2"/>
    <w:rsid w:val="00375DE7"/>
    <w:rsid w:val="00383D47"/>
    <w:rsid w:val="00385EA3"/>
    <w:rsid w:val="00387D69"/>
    <w:rsid w:val="00391AA1"/>
    <w:rsid w:val="00392610"/>
    <w:rsid w:val="003931C3"/>
    <w:rsid w:val="003931FA"/>
    <w:rsid w:val="00393362"/>
    <w:rsid w:val="00393DB1"/>
    <w:rsid w:val="00394CAC"/>
    <w:rsid w:val="00394E47"/>
    <w:rsid w:val="00397B57"/>
    <w:rsid w:val="003A03B7"/>
    <w:rsid w:val="003A0474"/>
    <w:rsid w:val="003A0735"/>
    <w:rsid w:val="003A1320"/>
    <w:rsid w:val="003A1363"/>
    <w:rsid w:val="003A21BA"/>
    <w:rsid w:val="003A24DD"/>
    <w:rsid w:val="003A2E5A"/>
    <w:rsid w:val="003A4AA9"/>
    <w:rsid w:val="003A612E"/>
    <w:rsid w:val="003A6B24"/>
    <w:rsid w:val="003A7AE1"/>
    <w:rsid w:val="003B0727"/>
    <w:rsid w:val="003B2352"/>
    <w:rsid w:val="003B2576"/>
    <w:rsid w:val="003B2F80"/>
    <w:rsid w:val="003B4419"/>
    <w:rsid w:val="003B7643"/>
    <w:rsid w:val="003B7E0A"/>
    <w:rsid w:val="003C0615"/>
    <w:rsid w:val="003C10B2"/>
    <w:rsid w:val="003C3512"/>
    <w:rsid w:val="003C35A2"/>
    <w:rsid w:val="003C387B"/>
    <w:rsid w:val="003C6547"/>
    <w:rsid w:val="003C6E65"/>
    <w:rsid w:val="003C77BA"/>
    <w:rsid w:val="003C7D06"/>
    <w:rsid w:val="003D015E"/>
    <w:rsid w:val="003D0855"/>
    <w:rsid w:val="003D12E6"/>
    <w:rsid w:val="003D1793"/>
    <w:rsid w:val="003D1EFB"/>
    <w:rsid w:val="003D2270"/>
    <w:rsid w:val="003D26FA"/>
    <w:rsid w:val="003D3130"/>
    <w:rsid w:val="003D3884"/>
    <w:rsid w:val="003D3EAD"/>
    <w:rsid w:val="003D47CB"/>
    <w:rsid w:val="003D4F57"/>
    <w:rsid w:val="003D5A8A"/>
    <w:rsid w:val="003D7AC4"/>
    <w:rsid w:val="003D7BF3"/>
    <w:rsid w:val="003E1D43"/>
    <w:rsid w:val="003E1DA7"/>
    <w:rsid w:val="003E308C"/>
    <w:rsid w:val="003E31FB"/>
    <w:rsid w:val="003E5019"/>
    <w:rsid w:val="003E5AB5"/>
    <w:rsid w:val="003E5F19"/>
    <w:rsid w:val="003E6875"/>
    <w:rsid w:val="003E743F"/>
    <w:rsid w:val="003F000F"/>
    <w:rsid w:val="003F0E7B"/>
    <w:rsid w:val="003F230E"/>
    <w:rsid w:val="003F342B"/>
    <w:rsid w:val="003F455C"/>
    <w:rsid w:val="003F5C4A"/>
    <w:rsid w:val="003F60B9"/>
    <w:rsid w:val="003F72D6"/>
    <w:rsid w:val="00400009"/>
    <w:rsid w:val="00400994"/>
    <w:rsid w:val="00403752"/>
    <w:rsid w:val="00403F69"/>
    <w:rsid w:val="004071DF"/>
    <w:rsid w:val="0040738C"/>
    <w:rsid w:val="004073F9"/>
    <w:rsid w:val="004075F2"/>
    <w:rsid w:val="00410FEE"/>
    <w:rsid w:val="00411322"/>
    <w:rsid w:val="00413DD1"/>
    <w:rsid w:val="004153BF"/>
    <w:rsid w:val="00415D10"/>
    <w:rsid w:val="00415E8C"/>
    <w:rsid w:val="0041776E"/>
    <w:rsid w:val="004207CC"/>
    <w:rsid w:val="004238B7"/>
    <w:rsid w:val="0042457C"/>
    <w:rsid w:val="0042519F"/>
    <w:rsid w:val="0042598D"/>
    <w:rsid w:val="00427EE9"/>
    <w:rsid w:val="00430BD6"/>
    <w:rsid w:val="00430D4B"/>
    <w:rsid w:val="0043248B"/>
    <w:rsid w:val="00433554"/>
    <w:rsid w:val="00433A8B"/>
    <w:rsid w:val="00433A91"/>
    <w:rsid w:val="00433C99"/>
    <w:rsid w:val="00433F96"/>
    <w:rsid w:val="00434B49"/>
    <w:rsid w:val="004362B1"/>
    <w:rsid w:val="004370AF"/>
    <w:rsid w:val="00440B24"/>
    <w:rsid w:val="00441ED3"/>
    <w:rsid w:val="00441FF6"/>
    <w:rsid w:val="00442D31"/>
    <w:rsid w:val="004449B1"/>
    <w:rsid w:val="00444DD9"/>
    <w:rsid w:val="00445FD2"/>
    <w:rsid w:val="00446D76"/>
    <w:rsid w:val="00447A3F"/>
    <w:rsid w:val="00450189"/>
    <w:rsid w:val="0045181C"/>
    <w:rsid w:val="00453F86"/>
    <w:rsid w:val="004543D3"/>
    <w:rsid w:val="00455F73"/>
    <w:rsid w:val="0045679D"/>
    <w:rsid w:val="00456E86"/>
    <w:rsid w:val="0046183A"/>
    <w:rsid w:val="0046229C"/>
    <w:rsid w:val="00463D79"/>
    <w:rsid w:val="004645A6"/>
    <w:rsid w:val="004662C1"/>
    <w:rsid w:val="0046778E"/>
    <w:rsid w:val="00467DCD"/>
    <w:rsid w:val="0047083C"/>
    <w:rsid w:val="004712CD"/>
    <w:rsid w:val="004713E8"/>
    <w:rsid w:val="00471701"/>
    <w:rsid w:val="00471A63"/>
    <w:rsid w:val="00472A00"/>
    <w:rsid w:val="00473BE6"/>
    <w:rsid w:val="004747EC"/>
    <w:rsid w:val="00474E94"/>
    <w:rsid w:val="004752E3"/>
    <w:rsid w:val="00475387"/>
    <w:rsid w:val="004775A0"/>
    <w:rsid w:val="00477A22"/>
    <w:rsid w:val="00477B4D"/>
    <w:rsid w:val="00477EBB"/>
    <w:rsid w:val="004812B7"/>
    <w:rsid w:val="004819A8"/>
    <w:rsid w:val="00481D4B"/>
    <w:rsid w:val="0048474F"/>
    <w:rsid w:val="00484BAC"/>
    <w:rsid w:val="0048504D"/>
    <w:rsid w:val="00486804"/>
    <w:rsid w:val="004912C7"/>
    <w:rsid w:val="00491A0A"/>
    <w:rsid w:val="00491DD4"/>
    <w:rsid w:val="00492133"/>
    <w:rsid w:val="004932FA"/>
    <w:rsid w:val="004935F6"/>
    <w:rsid w:val="00493C6D"/>
    <w:rsid w:val="004945B0"/>
    <w:rsid w:val="00494AF3"/>
    <w:rsid w:val="00494EF9"/>
    <w:rsid w:val="0049633E"/>
    <w:rsid w:val="004A5569"/>
    <w:rsid w:val="004A59E7"/>
    <w:rsid w:val="004A61A7"/>
    <w:rsid w:val="004A65BD"/>
    <w:rsid w:val="004A67DF"/>
    <w:rsid w:val="004A73A7"/>
    <w:rsid w:val="004A77E4"/>
    <w:rsid w:val="004B0DA9"/>
    <w:rsid w:val="004B0EA5"/>
    <w:rsid w:val="004B1D8C"/>
    <w:rsid w:val="004B1DE7"/>
    <w:rsid w:val="004B33A8"/>
    <w:rsid w:val="004B33B4"/>
    <w:rsid w:val="004B3C15"/>
    <w:rsid w:val="004B3E45"/>
    <w:rsid w:val="004B76FF"/>
    <w:rsid w:val="004C0D2E"/>
    <w:rsid w:val="004C15BE"/>
    <w:rsid w:val="004C29FF"/>
    <w:rsid w:val="004C44BE"/>
    <w:rsid w:val="004C5FF2"/>
    <w:rsid w:val="004C702C"/>
    <w:rsid w:val="004C758E"/>
    <w:rsid w:val="004C78F9"/>
    <w:rsid w:val="004C7D17"/>
    <w:rsid w:val="004D027E"/>
    <w:rsid w:val="004D06F6"/>
    <w:rsid w:val="004D1465"/>
    <w:rsid w:val="004D2336"/>
    <w:rsid w:val="004D30BA"/>
    <w:rsid w:val="004D3195"/>
    <w:rsid w:val="004D366C"/>
    <w:rsid w:val="004D5391"/>
    <w:rsid w:val="004D5E54"/>
    <w:rsid w:val="004D6190"/>
    <w:rsid w:val="004D6745"/>
    <w:rsid w:val="004E0D0D"/>
    <w:rsid w:val="004E121E"/>
    <w:rsid w:val="004E14E9"/>
    <w:rsid w:val="004E1724"/>
    <w:rsid w:val="004E35A7"/>
    <w:rsid w:val="004E53CA"/>
    <w:rsid w:val="004E5857"/>
    <w:rsid w:val="004E6B44"/>
    <w:rsid w:val="004E6E13"/>
    <w:rsid w:val="004F015D"/>
    <w:rsid w:val="004F182B"/>
    <w:rsid w:val="004F50E8"/>
    <w:rsid w:val="004F6B9D"/>
    <w:rsid w:val="004F7291"/>
    <w:rsid w:val="004F7B19"/>
    <w:rsid w:val="004F7BE3"/>
    <w:rsid w:val="004F7E56"/>
    <w:rsid w:val="004F7EE1"/>
    <w:rsid w:val="00502E3E"/>
    <w:rsid w:val="00503D9A"/>
    <w:rsid w:val="005056F2"/>
    <w:rsid w:val="005057F2"/>
    <w:rsid w:val="00506983"/>
    <w:rsid w:val="005076B9"/>
    <w:rsid w:val="00510BCF"/>
    <w:rsid w:val="00512355"/>
    <w:rsid w:val="0051335B"/>
    <w:rsid w:val="0051492B"/>
    <w:rsid w:val="00516122"/>
    <w:rsid w:val="005200DC"/>
    <w:rsid w:val="005209AC"/>
    <w:rsid w:val="00520E99"/>
    <w:rsid w:val="0052105B"/>
    <w:rsid w:val="0052145B"/>
    <w:rsid w:val="00521BD6"/>
    <w:rsid w:val="00526C6E"/>
    <w:rsid w:val="005279C9"/>
    <w:rsid w:val="00527F93"/>
    <w:rsid w:val="00531780"/>
    <w:rsid w:val="00531D1D"/>
    <w:rsid w:val="00532875"/>
    <w:rsid w:val="00532E56"/>
    <w:rsid w:val="00534503"/>
    <w:rsid w:val="00534D88"/>
    <w:rsid w:val="00535A61"/>
    <w:rsid w:val="00535B88"/>
    <w:rsid w:val="00535F4B"/>
    <w:rsid w:val="005370D0"/>
    <w:rsid w:val="0053716D"/>
    <w:rsid w:val="00537E93"/>
    <w:rsid w:val="00537F1E"/>
    <w:rsid w:val="005400F9"/>
    <w:rsid w:val="00540708"/>
    <w:rsid w:val="0054084A"/>
    <w:rsid w:val="00540FEE"/>
    <w:rsid w:val="005418F9"/>
    <w:rsid w:val="00541A58"/>
    <w:rsid w:val="00542571"/>
    <w:rsid w:val="00544082"/>
    <w:rsid w:val="00544997"/>
    <w:rsid w:val="00545A48"/>
    <w:rsid w:val="00546034"/>
    <w:rsid w:val="00546ADC"/>
    <w:rsid w:val="00547269"/>
    <w:rsid w:val="0054753F"/>
    <w:rsid w:val="00552435"/>
    <w:rsid w:val="00553215"/>
    <w:rsid w:val="005537BF"/>
    <w:rsid w:val="00553992"/>
    <w:rsid w:val="00554507"/>
    <w:rsid w:val="005545B6"/>
    <w:rsid w:val="00554646"/>
    <w:rsid w:val="0055651A"/>
    <w:rsid w:val="00557CA0"/>
    <w:rsid w:val="00557F02"/>
    <w:rsid w:val="0056056B"/>
    <w:rsid w:val="005620F0"/>
    <w:rsid w:val="00564708"/>
    <w:rsid w:val="00565DC9"/>
    <w:rsid w:val="00566B45"/>
    <w:rsid w:val="00567175"/>
    <w:rsid w:val="00572A33"/>
    <w:rsid w:val="005731F0"/>
    <w:rsid w:val="00574506"/>
    <w:rsid w:val="00574674"/>
    <w:rsid w:val="00575080"/>
    <w:rsid w:val="00575AEF"/>
    <w:rsid w:val="00576541"/>
    <w:rsid w:val="00577504"/>
    <w:rsid w:val="00577A06"/>
    <w:rsid w:val="00577FCA"/>
    <w:rsid w:val="005808E5"/>
    <w:rsid w:val="00580B04"/>
    <w:rsid w:val="00583157"/>
    <w:rsid w:val="0058323E"/>
    <w:rsid w:val="00583282"/>
    <w:rsid w:val="0058563C"/>
    <w:rsid w:val="0058619A"/>
    <w:rsid w:val="00590481"/>
    <w:rsid w:val="00591309"/>
    <w:rsid w:val="005913EB"/>
    <w:rsid w:val="00592488"/>
    <w:rsid w:val="005938E3"/>
    <w:rsid w:val="0059419F"/>
    <w:rsid w:val="005948A1"/>
    <w:rsid w:val="00596FE4"/>
    <w:rsid w:val="005973FA"/>
    <w:rsid w:val="00597658"/>
    <w:rsid w:val="00597E43"/>
    <w:rsid w:val="005A083E"/>
    <w:rsid w:val="005A0CF9"/>
    <w:rsid w:val="005A0F37"/>
    <w:rsid w:val="005A15E6"/>
    <w:rsid w:val="005A212A"/>
    <w:rsid w:val="005A25A8"/>
    <w:rsid w:val="005A4674"/>
    <w:rsid w:val="005A4757"/>
    <w:rsid w:val="005A65AB"/>
    <w:rsid w:val="005B00F7"/>
    <w:rsid w:val="005B0629"/>
    <w:rsid w:val="005B10D4"/>
    <w:rsid w:val="005B2031"/>
    <w:rsid w:val="005B26C2"/>
    <w:rsid w:val="005B279F"/>
    <w:rsid w:val="005B3278"/>
    <w:rsid w:val="005B335C"/>
    <w:rsid w:val="005B337D"/>
    <w:rsid w:val="005B3BC6"/>
    <w:rsid w:val="005B3D05"/>
    <w:rsid w:val="005B4A0E"/>
    <w:rsid w:val="005B4A4C"/>
    <w:rsid w:val="005B7C56"/>
    <w:rsid w:val="005C14F5"/>
    <w:rsid w:val="005C416F"/>
    <w:rsid w:val="005C4B17"/>
    <w:rsid w:val="005C4C29"/>
    <w:rsid w:val="005C6889"/>
    <w:rsid w:val="005C6FF9"/>
    <w:rsid w:val="005C7537"/>
    <w:rsid w:val="005C7755"/>
    <w:rsid w:val="005D0B27"/>
    <w:rsid w:val="005D109B"/>
    <w:rsid w:val="005D233F"/>
    <w:rsid w:val="005D3890"/>
    <w:rsid w:val="005D38B4"/>
    <w:rsid w:val="005D3A3D"/>
    <w:rsid w:val="005D4478"/>
    <w:rsid w:val="005D6C0A"/>
    <w:rsid w:val="005D7AC3"/>
    <w:rsid w:val="005E03EF"/>
    <w:rsid w:val="005E294F"/>
    <w:rsid w:val="005E2D2F"/>
    <w:rsid w:val="005E4DFB"/>
    <w:rsid w:val="005E4F7B"/>
    <w:rsid w:val="005E57AC"/>
    <w:rsid w:val="005E69AD"/>
    <w:rsid w:val="005E6A95"/>
    <w:rsid w:val="005E7221"/>
    <w:rsid w:val="005E7BD4"/>
    <w:rsid w:val="005E7E5C"/>
    <w:rsid w:val="005E7E6F"/>
    <w:rsid w:val="005F0154"/>
    <w:rsid w:val="005F1375"/>
    <w:rsid w:val="005F2ECB"/>
    <w:rsid w:val="005F33F6"/>
    <w:rsid w:val="005F54B4"/>
    <w:rsid w:val="005F5A54"/>
    <w:rsid w:val="005F5C21"/>
    <w:rsid w:val="005F5C47"/>
    <w:rsid w:val="005F62A0"/>
    <w:rsid w:val="005F7776"/>
    <w:rsid w:val="00600275"/>
    <w:rsid w:val="00602355"/>
    <w:rsid w:val="00603DD1"/>
    <w:rsid w:val="00605BE9"/>
    <w:rsid w:val="006062AC"/>
    <w:rsid w:val="006068F2"/>
    <w:rsid w:val="006104D1"/>
    <w:rsid w:val="00611949"/>
    <w:rsid w:val="006121FD"/>
    <w:rsid w:val="00612B55"/>
    <w:rsid w:val="00613EB5"/>
    <w:rsid w:val="00614A5A"/>
    <w:rsid w:val="006163F5"/>
    <w:rsid w:val="00616983"/>
    <w:rsid w:val="006169DD"/>
    <w:rsid w:val="00616C77"/>
    <w:rsid w:val="00616C82"/>
    <w:rsid w:val="00620FDA"/>
    <w:rsid w:val="00622142"/>
    <w:rsid w:val="00623195"/>
    <w:rsid w:val="0062562D"/>
    <w:rsid w:val="0062775B"/>
    <w:rsid w:val="00630D69"/>
    <w:rsid w:val="006322D7"/>
    <w:rsid w:val="00632B37"/>
    <w:rsid w:val="00632D0F"/>
    <w:rsid w:val="00633D32"/>
    <w:rsid w:val="00633F48"/>
    <w:rsid w:val="006344AD"/>
    <w:rsid w:val="00635944"/>
    <w:rsid w:val="00635FEC"/>
    <w:rsid w:val="0063632B"/>
    <w:rsid w:val="006364F5"/>
    <w:rsid w:val="006375BE"/>
    <w:rsid w:val="00640B0B"/>
    <w:rsid w:val="00640E81"/>
    <w:rsid w:val="006432DF"/>
    <w:rsid w:val="0064350B"/>
    <w:rsid w:val="00643A78"/>
    <w:rsid w:val="0064417E"/>
    <w:rsid w:val="00644582"/>
    <w:rsid w:val="00644ED7"/>
    <w:rsid w:val="00645A1D"/>
    <w:rsid w:val="00646A08"/>
    <w:rsid w:val="006474DA"/>
    <w:rsid w:val="006503F4"/>
    <w:rsid w:val="00650B7B"/>
    <w:rsid w:val="00653474"/>
    <w:rsid w:val="006541F8"/>
    <w:rsid w:val="00654B24"/>
    <w:rsid w:val="00654BD7"/>
    <w:rsid w:val="00656AEA"/>
    <w:rsid w:val="0066019D"/>
    <w:rsid w:val="00660CC2"/>
    <w:rsid w:val="006613A0"/>
    <w:rsid w:val="0066176A"/>
    <w:rsid w:val="00661A5F"/>
    <w:rsid w:val="00664036"/>
    <w:rsid w:val="00665ECD"/>
    <w:rsid w:val="00667400"/>
    <w:rsid w:val="00667D8B"/>
    <w:rsid w:val="0067114A"/>
    <w:rsid w:val="006717F4"/>
    <w:rsid w:val="006719C2"/>
    <w:rsid w:val="00671AC6"/>
    <w:rsid w:val="00671E76"/>
    <w:rsid w:val="006770D1"/>
    <w:rsid w:val="006772D3"/>
    <w:rsid w:val="00680528"/>
    <w:rsid w:val="0068245A"/>
    <w:rsid w:val="006832AF"/>
    <w:rsid w:val="00683DE0"/>
    <w:rsid w:val="00684D97"/>
    <w:rsid w:val="00684E40"/>
    <w:rsid w:val="00684EBA"/>
    <w:rsid w:val="006873EC"/>
    <w:rsid w:val="006875C5"/>
    <w:rsid w:val="00687C21"/>
    <w:rsid w:val="00690A85"/>
    <w:rsid w:val="00691113"/>
    <w:rsid w:val="006922E6"/>
    <w:rsid w:val="00692B4D"/>
    <w:rsid w:val="0069310E"/>
    <w:rsid w:val="00696486"/>
    <w:rsid w:val="00696F17"/>
    <w:rsid w:val="00697D72"/>
    <w:rsid w:val="006A00BC"/>
    <w:rsid w:val="006A05E4"/>
    <w:rsid w:val="006A0A32"/>
    <w:rsid w:val="006A213E"/>
    <w:rsid w:val="006A220E"/>
    <w:rsid w:val="006A3F45"/>
    <w:rsid w:val="006A4A4D"/>
    <w:rsid w:val="006A4D53"/>
    <w:rsid w:val="006A52D6"/>
    <w:rsid w:val="006A616A"/>
    <w:rsid w:val="006A6676"/>
    <w:rsid w:val="006A69FB"/>
    <w:rsid w:val="006A732C"/>
    <w:rsid w:val="006A7366"/>
    <w:rsid w:val="006B07F0"/>
    <w:rsid w:val="006B0F00"/>
    <w:rsid w:val="006B26DB"/>
    <w:rsid w:val="006B4FA3"/>
    <w:rsid w:val="006B51CE"/>
    <w:rsid w:val="006B56A8"/>
    <w:rsid w:val="006B5CBA"/>
    <w:rsid w:val="006B5DC5"/>
    <w:rsid w:val="006B6D6C"/>
    <w:rsid w:val="006B71F9"/>
    <w:rsid w:val="006B7A7D"/>
    <w:rsid w:val="006C0044"/>
    <w:rsid w:val="006C1048"/>
    <w:rsid w:val="006C2BE1"/>
    <w:rsid w:val="006C466C"/>
    <w:rsid w:val="006C46E4"/>
    <w:rsid w:val="006C6220"/>
    <w:rsid w:val="006C6F2E"/>
    <w:rsid w:val="006D00BD"/>
    <w:rsid w:val="006D054E"/>
    <w:rsid w:val="006D0805"/>
    <w:rsid w:val="006D0CCC"/>
    <w:rsid w:val="006D165C"/>
    <w:rsid w:val="006D1996"/>
    <w:rsid w:val="006D215D"/>
    <w:rsid w:val="006D3F93"/>
    <w:rsid w:val="006D4B58"/>
    <w:rsid w:val="006D6876"/>
    <w:rsid w:val="006D786A"/>
    <w:rsid w:val="006E0368"/>
    <w:rsid w:val="006E04CD"/>
    <w:rsid w:val="006E10F1"/>
    <w:rsid w:val="006E28DB"/>
    <w:rsid w:val="006E3205"/>
    <w:rsid w:val="006E34D3"/>
    <w:rsid w:val="006E3CCF"/>
    <w:rsid w:val="006E3D8B"/>
    <w:rsid w:val="006E5F53"/>
    <w:rsid w:val="006E72A9"/>
    <w:rsid w:val="006F1E96"/>
    <w:rsid w:val="006F2BAF"/>
    <w:rsid w:val="006F7678"/>
    <w:rsid w:val="006F7856"/>
    <w:rsid w:val="00700963"/>
    <w:rsid w:val="00701D19"/>
    <w:rsid w:val="007028BA"/>
    <w:rsid w:val="00703009"/>
    <w:rsid w:val="007042DA"/>
    <w:rsid w:val="0070441D"/>
    <w:rsid w:val="0070502C"/>
    <w:rsid w:val="00705C07"/>
    <w:rsid w:val="00711F4A"/>
    <w:rsid w:val="007124B0"/>
    <w:rsid w:val="00712F85"/>
    <w:rsid w:val="00713A56"/>
    <w:rsid w:val="00714F65"/>
    <w:rsid w:val="00715107"/>
    <w:rsid w:val="0071610C"/>
    <w:rsid w:val="00716472"/>
    <w:rsid w:val="0071653E"/>
    <w:rsid w:val="007169B2"/>
    <w:rsid w:val="00720EBD"/>
    <w:rsid w:val="0072243E"/>
    <w:rsid w:val="00723F92"/>
    <w:rsid w:val="00725B26"/>
    <w:rsid w:val="00726ACA"/>
    <w:rsid w:val="00727F7A"/>
    <w:rsid w:val="0073010A"/>
    <w:rsid w:val="00730C06"/>
    <w:rsid w:val="00731943"/>
    <w:rsid w:val="007325B7"/>
    <w:rsid w:val="00734058"/>
    <w:rsid w:val="00734535"/>
    <w:rsid w:val="00734DF6"/>
    <w:rsid w:val="00735B80"/>
    <w:rsid w:val="00735DBC"/>
    <w:rsid w:val="00737284"/>
    <w:rsid w:val="00740124"/>
    <w:rsid w:val="007402CA"/>
    <w:rsid w:val="00740797"/>
    <w:rsid w:val="00740FA6"/>
    <w:rsid w:val="00743614"/>
    <w:rsid w:val="00744FD2"/>
    <w:rsid w:val="007451B7"/>
    <w:rsid w:val="00747FEB"/>
    <w:rsid w:val="007522F1"/>
    <w:rsid w:val="00752865"/>
    <w:rsid w:val="00752937"/>
    <w:rsid w:val="00752AA1"/>
    <w:rsid w:val="00753F93"/>
    <w:rsid w:val="00754616"/>
    <w:rsid w:val="007556F4"/>
    <w:rsid w:val="00756371"/>
    <w:rsid w:val="007569DE"/>
    <w:rsid w:val="007570B2"/>
    <w:rsid w:val="0075763E"/>
    <w:rsid w:val="00760941"/>
    <w:rsid w:val="00760FEC"/>
    <w:rsid w:val="00761448"/>
    <w:rsid w:val="00761805"/>
    <w:rsid w:val="007636E2"/>
    <w:rsid w:val="0076448D"/>
    <w:rsid w:val="007647FB"/>
    <w:rsid w:val="00764970"/>
    <w:rsid w:val="00764C76"/>
    <w:rsid w:val="00764EC7"/>
    <w:rsid w:val="007669D9"/>
    <w:rsid w:val="00767529"/>
    <w:rsid w:val="00767DC6"/>
    <w:rsid w:val="00767F98"/>
    <w:rsid w:val="00770348"/>
    <w:rsid w:val="007713AD"/>
    <w:rsid w:val="007737AD"/>
    <w:rsid w:val="00773887"/>
    <w:rsid w:val="00774C27"/>
    <w:rsid w:val="00774DB5"/>
    <w:rsid w:val="00775349"/>
    <w:rsid w:val="00775B8C"/>
    <w:rsid w:val="00775ED6"/>
    <w:rsid w:val="00777CB2"/>
    <w:rsid w:val="0078128B"/>
    <w:rsid w:val="00782EFB"/>
    <w:rsid w:val="007834B4"/>
    <w:rsid w:val="007858F3"/>
    <w:rsid w:val="00785912"/>
    <w:rsid w:val="00785FDB"/>
    <w:rsid w:val="00786731"/>
    <w:rsid w:val="007869C7"/>
    <w:rsid w:val="00786AD3"/>
    <w:rsid w:val="007874EC"/>
    <w:rsid w:val="0079173D"/>
    <w:rsid w:val="00791C01"/>
    <w:rsid w:val="00791F33"/>
    <w:rsid w:val="00792823"/>
    <w:rsid w:val="00792A22"/>
    <w:rsid w:val="00792E57"/>
    <w:rsid w:val="00793A43"/>
    <w:rsid w:val="00794F99"/>
    <w:rsid w:val="007A01BB"/>
    <w:rsid w:val="007A0C84"/>
    <w:rsid w:val="007A150B"/>
    <w:rsid w:val="007A1B36"/>
    <w:rsid w:val="007A2642"/>
    <w:rsid w:val="007A27A0"/>
    <w:rsid w:val="007A358B"/>
    <w:rsid w:val="007A4AE0"/>
    <w:rsid w:val="007A5F9D"/>
    <w:rsid w:val="007A679B"/>
    <w:rsid w:val="007A799A"/>
    <w:rsid w:val="007A7B1C"/>
    <w:rsid w:val="007B0C53"/>
    <w:rsid w:val="007B10D9"/>
    <w:rsid w:val="007B1A72"/>
    <w:rsid w:val="007B4FB3"/>
    <w:rsid w:val="007B546F"/>
    <w:rsid w:val="007B6103"/>
    <w:rsid w:val="007B6A11"/>
    <w:rsid w:val="007C0C70"/>
    <w:rsid w:val="007C0E98"/>
    <w:rsid w:val="007C19C2"/>
    <w:rsid w:val="007C28DB"/>
    <w:rsid w:val="007C2A93"/>
    <w:rsid w:val="007C2B55"/>
    <w:rsid w:val="007C3E0D"/>
    <w:rsid w:val="007C4950"/>
    <w:rsid w:val="007D0915"/>
    <w:rsid w:val="007D0E16"/>
    <w:rsid w:val="007D2D11"/>
    <w:rsid w:val="007D3183"/>
    <w:rsid w:val="007D388A"/>
    <w:rsid w:val="007D5FAE"/>
    <w:rsid w:val="007D63E8"/>
    <w:rsid w:val="007E087C"/>
    <w:rsid w:val="007E1BA9"/>
    <w:rsid w:val="007E266A"/>
    <w:rsid w:val="007E26F3"/>
    <w:rsid w:val="007E3AB9"/>
    <w:rsid w:val="007E4231"/>
    <w:rsid w:val="007E4E15"/>
    <w:rsid w:val="007E718A"/>
    <w:rsid w:val="007E7391"/>
    <w:rsid w:val="007E74AE"/>
    <w:rsid w:val="007E7A71"/>
    <w:rsid w:val="007F04D2"/>
    <w:rsid w:val="007F2512"/>
    <w:rsid w:val="007F4CCD"/>
    <w:rsid w:val="007F61B7"/>
    <w:rsid w:val="007F7BCB"/>
    <w:rsid w:val="007F7C31"/>
    <w:rsid w:val="008011C7"/>
    <w:rsid w:val="00802AC9"/>
    <w:rsid w:val="00802F0D"/>
    <w:rsid w:val="0080423F"/>
    <w:rsid w:val="008045A8"/>
    <w:rsid w:val="00804973"/>
    <w:rsid w:val="00806DF2"/>
    <w:rsid w:val="00807924"/>
    <w:rsid w:val="00810038"/>
    <w:rsid w:val="00810124"/>
    <w:rsid w:val="008113F1"/>
    <w:rsid w:val="008115A7"/>
    <w:rsid w:val="00811CB9"/>
    <w:rsid w:val="008136B0"/>
    <w:rsid w:val="00815301"/>
    <w:rsid w:val="008158FD"/>
    <w:rsid w:val="008159B1"/>
    <w:rsid w:val="00815C97"/>
    <w:rsid w:val="00816396"/>
    <w:rsid w:val="0081779B"/>
    <w:rsid w:val="00820DF4"/>
    <w:rsid w:val="008214F4"/>
    <w:rsid w:val="00822DCB"/>
    <w:rsid w:val="00822DFC"/>
    <w:rsid w:val="008242D0"/>
    <w:rsid w:val="00826FD9"/>
    <w:rsid w:val="0082724D"/>
    <w:rsid w:val="00830B34"/>
    <w:rsid w:val="00832229"/>
    <w:rsid w:val="00833B96"/>
    <w:rsid w:val="00834B95"/>
    <w:rsid w:val="0083529E"/>
    <w:rsid w:val="00837682"/>
    <w:rsid w:val="008405FE"/>
    <w:rsid w:val="00840A69"/>
    <w:rsid w:val="00840C8B"/>
    <w:rsid w:val="00842F83"/>
    <w:rsid w:val="0084317E"/>
    <w:rsid w:val="008437FE"/>
    <w:rsid w:val="0084497A"/>
    <w:rsid w:val="00845997"/>
    <w:rsid w:val="00845AE3"/>
    <w:rsid w:val="00846C01"/>
    <w:rsid w:val="00850B11"/>
    <w:rsid w:val="008515EC"/>
    <w:rsid w:val="0085183B"/>
    <w:rsid w:val="00851C3E"/>
    <w:rsid w:val="00852402"/>
    <w:rsid w:val="008525DE"/>
    <w:rsid w:val="00853C9B"/>
    <w:rsid w:val="00854286"/>
    <w:rsid w:val="00856057"/>
    <w:rsid w:val="008570BC"/>
    <w:rsid w:val="00861104"/>
    <w:rsid w:val="00861ECB"/>
    <w:rsid w:val="00861FAA"/>
    <w:rsid w:val="008620EC"/>
    <w:rsid w:val="008642FC"/>
    <w:rsid w:val="008659E5"/>
    <w:rsid w:val="00866304"/>
    <w:rsid w:val="00866A69"/>
    <w:rsid w:val="008675B4"/>
    <w:rsid w:val="008719C9"/>
    <w:rsid w:val="00871CE0"/>
    <w:rsid w:val="00873681"/>
    <w:rsid w:val="00874480"/>
    <w:rsid w:val="00874797"/>
    <w:rsid w:val="00874E9F"/>
    <w:rsid w:val="00876F76"/>
    <w:rsid w:val="00877B32"/>
    <w:rsid w:val="00880839"/>
    <w:rsid w:val="00880DC8"/>
    <w:rsid w:val="00881AE4"/>
    <w:rsid w:val="00883838"/>
    <w:rsid w:val="00883C90"/>
    <w:rsid w:val="00884127"/>
    <w:rsid w:val="008864A2"/>
    <w:rsid w:val="00886E02"/>
    <w:rsid w:val="00891AE9"/>
    <w:rsid w:val="008929DA"/>
    <w:rsid w:val="008935D6"/>
    <w:rsid w:val="0089613E"/>
    <w:rsid w:val="0089624E"/>
    <w:rsid w:val="008975C7"/>
    <w:rsid w:val="008A049A"/>
    <w:rsid w:val="008A08E5"/>
    <w:rsid w:val="008A0AC3"/>
    <w:rsid w:val="008A14A4"/>
    <w:rsid w:val="008A4424"/>
    <w:rsid w:val="008A504B"/>
    <w:rsid w:val="008A6822"/>
    <w:rsid w:val="008A7E98"/>
    <w:rsid w:val="008B0200"/>
    <w:rsid w:val="008B3004"/>
    <w:rsid w:val="008B5146"/>
    <w:rsid w:val="008B53A6"/>
    <w:rsid w:val="008B650B"/>
    <w:rsid w:val="008B79AF"/>
    <w:rsid w:val="008C2F28"/>
    <w:rsid w:val="008C2FF1"/>
    <w:rsid w:val="008C3AD9"/>
    <w:rsid w:val="008C5C1D"/>
    <w:rsid w:val="008C5C61"/>
    <w:rsid w:val="008C698E"/>
    <w:rsid w:val="008C7586"/>
    <w:rsid w:val="008D0171"/>
    <w:rsid w:val="008D12B6"/>
    <w:rsid w:val="008D276A"/>
    <w:rsid w:val="008D2CF0"/>
    <w:rsid w:val="008D328C"/>
    <w:rsid w:val="008D4D61"/>
    <w:rsid w:val="008D7365"/>
    <w:rsid w:val="008E0641"/>
    <w:rsid w:val="008E0D61"/>
    <w:rsid w:val="008E131D"/>
    <w:rsid w:val="008E2CA8"/>
    <w:rsid w:val="008E3F4B"/>
    <w:rsid w:val="008E4205"/>
    <w:rsid w:val="008E4725"/>
    <w:rsid w:val="008E4F44"/>
    <w:rsid w:val="008E5BE1"/>
    <w:rsid w:val="008E6B53"/>
    <w:rsid w:val="008E7D52"/>
    <w:rsid w:val="008F1192"/>
    <w:rsid w:val="008F14BD"/>
    <w:rsid w:val="008F1EB6"/>
    <w:rsid w:val="008F4DD7"/>
    <w:rsid w:val="008F57CF"/>
    <w:rsid w:val="008F5E3C"/>
    <w:rsid w:val="008F78A5"/>
    <w:rsid w:val="00901E05"/>
    <w:rsid w:val="0090291C"/>
    <w:rsid w:val="00902E07"/>
    <w:rsid w:val="00904622"/>
    <w:rsid w:val="009067DC"/>
    <w:rsid w:val="00907511"/>
    <w:rsid w:val="009076EF"/>
    <w:rsid w:val="00907DAA"/>
    <w:rsid w:val="00907E10"/>
    <w:rsid w:val="0091106B"/>
    <w:rsid w:val="00914EE3"/>
    <w:rsid w:val="00915E5C"/>
    <w:rsid w:val="00917879"/>
    <w:rsid w:val="00920881"/>
    <w:rsid w:val="00920FF4"/>
    <w:rsid w:val="009214DE"/>
    <w:rsid w:val="009244CB"/>
    <w:rsid w:val="00924B4F"/>
    <w:rsid w:val="00924DD3"/>
    <w:rsid w:val="009260DB"/>
    <w:rsid w:val="0092652F"/>
    <w:rsid w:val="009265A6"/>
    <w:rsid w:val="00927596"/>
    <w:rsid w:val="00927B59"/>
    <w:rsid w:val="00927E13"/>
    <w:rsid w:val="009305C9"/>
    <w:rsid w:val="009314A0"/>
    <w:rsid w:val="009316CD"/>
    <w:rsid w:val="00931F78"/>
    <w:rsid w:val="0093215E"/>
    <w:rsid w:val="00933243"/>
    <w:rsid w:val="00933D28"/>
    <w:rsid w:val="00934033"/>
    <w:rsid w:val="00934C0A"/>
    <w:rsid w:val="00934FB9"/>
    <w:rsid w:val="009377A1"/>
    <w:rsid w:val="00937E87"/>
    <w:rsid w:val="009409C7"/>
    <w:rsid w:val="009420EF"/>
    <w:rsid w:val="009424F0"/>
    <w:rsid w:val="0094387E"/>
    <w:rsid w:val="00943F6C"/>
    <w:rsid w:val="0094492D"/>
    <w:rsid w:val="0094548F"/>
    <w:rsid w:val="009503EB"/>
    <w:rsid w:val="009504C1"/>
    <w:rsid w:val="00952F93"/>
    <w:rsid w:val="009531F4"/>
    <w:rsid w:val="00953CA7"/>
    <w:rsid w:val="00954AB9"/>
    <w:rsid w:val="00955060"/>
    <w:rsid w:val="009578AB"/>
    <w:rsid w:val="0096190C"/>
    <w:rsid w:val="00962C7D"/>
    <w:rsid w:val="00962DF2"/>
    <w:rsid w:val="00964C14"/>
    <w:rsid w:val="00964D49"/>
    <w:rsid w:val="0096621A"/>
    <w:rsid w:val="009671DE"/>
    <w:rsid w:val="009677DE"/>
    <w:rsid w:val="00970E87"/>
    <w:rsid w:val="00972457"/>
    <w:rsid w:val="0097355E"/>
    <w:rsid w:val="009750C2"/>
    <w:rsid w:val="00975723"/>
    <w:rsid w:val="009759F3"/>
    <w:rsid w:val="00977EBF"/>
    <w:rsid w:val="00980E89"/>
    <w:rsid w:val="009810DC"/>
    <w:rsid w:val="00981D03"/>
    <w:rsid w:val="00982AF9"/>
    <w:rsid w:val="0098307E"/>
    <w:rsid w:val="009835D2"/>
    <w:rsid w:val="009843DD"/>
    <w:rsid w:val="009853E3"/>
    <w:rsid w:val="009858CD"/>
    <w:rsid w:val="009866F0"/>
    <w:rsid w:val="00986CD6"/>
    <w:rsid w:val="00991044"/>
    <w:rsid w:val="00991BBA"/>
    <w:rsid w:val="00992BF0"/>
    <w:rsid w:val="00992DAC"/>
    <w:rsid w:val="00992F59"/>
    <w:rsid w:val="00993213"/>
    <w:rsid w:val="00994321"/>
    <w:rsid w:val="00994CE8"/>
    <w:rsid w:val="0099559E"/>
    <w:rsid w:val="00995828"/>
    <w:rsid w:val="00995D53"/>
    <w:rsid w:val="00995DED"/>
    <w:rsid w:val="009A1EBE"/>
    <w:rsid w:val="009A2807"/>
    <w:rsid w:val="009A2FB5"/>
    <w:rsid w:val="009A47F0"/>
    <w:rsid w:val="009A49B5"/>
    <w:rsid w:val="009A6628"/>
    <w:rsid w:val="009A7C3B"/>
    <w:rsid w:val="009B1847"/>
    <w:rsid w:val="009B1E75"/>
    <w:rsid w:val="009B1F01"/>
    <w:rsid w:val="009B3CAD"/>
    <w:rsid w:val="009B3FF3"/>
    <w:rsid w:val="009B4321"/>
    <w:rsid w:val="009B5317"/>
    <w:rsid w:val="009B68B0"/>
    <w:rsid w:val="009B7A7F"/>
    <w:rsid w:val="009B7C1E"/>
    <w:rsid w:val="009B7CFE"/>
    <w:rsid w:val="009B7FCA"/>
    <w:rsid w:val="009C000E"/>
    <w:rsid w:val="009C048B"/>
    <w:rsid w:val="009C21F6"/>
    <w:rsid w:val="009C314C"/>
    <w:rsid w:val="009C3795"/>
    <w:rsid w:val="009C52C8"/>
    <w:rsid w:val="009C5EDE"/>
    <w:rsid w:val="009C6B90"/>
    <w:rsid w:val="009C7835"/>
    <w:rsid w:val="009D0140"/>
    <w:rsid w:val="009D1B7C"/>
    <w:rsid w:val="009D1EFE"/>
    <w:rsid w:val="009D1F7A"/>
    <w:rsid w:val="009D2423"/>
    <w:rsid w:val="009D30F0"/>
    <w:rsid w:val="009D42CE"/>
    <w:rsid w:val="009D624F"/>
    <w:rsid w:val="009D6385"/>
    <w:rsid w:val="009D65F2"/>
    <w:rsid w:val="009D741D"/>
    <w:rsid w:val="009D7BF1"/>
    <w:rsid w:val="009E1C70"/>
    <w:rsid w:val="009E22B8"/>
    <w:rsid w:val="009E2E01"/>
    <w:rsid w:val="009E4BE0"/>
    <w:rsid w:val="009E6237"/>
    <w:rsid w:val="009E7234"/>
    <w:rsid w:val="009F0AB2"/>
    <w:rsid w:val="009F262B"/>
    <w:rsid w:val="009F2E41"/>
    <w:rsid w:val="009F39E5"/>
    <w:rsid w:val="009F41F3"/>
    <w:rsid w:val="009F4D63"/>
    <w:rsid w:val="009F5FEA"/>
    <w:rsid w:val="00A023D1"/>
    <w:rsid w:val="00A028B6"/>
    <w:rsid w:val="00A03048"/>
    <w:rsid w:val="00A044C0"/>
    <w:rsid w:val="00A046E3"/>
    <w:rsid w:val="00A04F97"/>
    <w:rsid w:val="00A04FA5"/>
    <w:rsid w:val="00A059F4"/>
    <w:rsid w:val="00A06292"/>
    <w:rsid w:val="00A06CA8"/>
    <w:rsid w:val="00A10003"/>
    <w:rsid w:val="00A100DA"/>
    <w:rsid w:val="00A11153"/>
    <w:rsid w:val="00A11CF9"/>
    <w:rsid w:val="00A14835"/>
    <w:rsid w:val="00A14941"/>
    <w:rsid w:val="00A1525A"/>
    <w:rsid w:val="00A16705"/>
    <w:rsid w:val="00A171EB"/>
    <w:rsid w:val="00A17543"/>
    <w:rsid w:val="00A20ADC"/>
    <w:rsid w:val="00A20F23"/>
    <w:rsid w:val="00A2123D"/>
    <w:rsid w:val="00A219F3"/>
    <w:rsid w:val="00A23BEC"/>
    <w:rsid w:val="00A26529"/>
    <w:rsid w:val="00A26659"/>
    <w:rsid w:val="00A26678"/>
    <w:rsid w:val="00A30F3E"/>
    <w:rsid w:val="00A32415"/>
    <w:rsid w:val="00A32A50"/>
    <w:rsid w:val="00A35A43"/>
    <w:rsid w:val="00A35C90"/>
    <w:rsid w:val="00A35D4F"/>
    <w:rsid w:val="00A35EC6"/>
    <w:rsid w:val="00A3697C"/>
    <w:rsid w:val="00A3784B"/>
    <w:rsid w:val="00A402C4"/>
    <w:rsid w:val="00A4211A"/>
    <w:rsid w:val="00A45D30"/>
    <w:rsid w:val="00A4617F"/>
    <w:rsid w:val="00A4651D"/>
    <w:rsid w:val="00A47DD9"/>
    <w:rsid w:val="00A508E2"/>
    <w:rsid w:val="00A50A04"/>
    <w:rsid w:val="00A5258B"/>
    <w:rsid w:val="00A5446A"/>
    <w:rsid w:val="00A545D7"/>
    <w:rsid w:val="00A54A64"/>
    <w:rsid w:val="00A54BD5"/>
    <w:rsid w:val="00A5640A"/>
    <w:rsid w:val="00A56A4B"/>
    <w:rsid w:val="00A57C71"/>
    <w:rsid w:val="00A60A11"/>
    <w:rsid w:val="00A6165F"/>
    <w:rsid w:val="00A63D27"/>
    <w:rsid w:val="00A64416"/>
    <w:rsid w:val="00A647A8"/>
    <w:rsid w:val="00A66D22"/>
    <w:rsid w:val="00A678D8"/>
    <w:rsid w:val="00A71B51"/>
    <w:rsid w:val="00A71BC5"/>
    <w:rsid w:val="00A7226A"/>
    <w:rsid w:val="00A72B29"/>
    <w:rsid w:val="00A741B6"/>
    <w:rsid w:val="00A75CCF"/>
    <w:rsid w:val="00A773EF"/>
    <w:rsid w:val="00A7748A"/>
    <w:rsid w:val="00A77AE1"/>
    <w:rsid w:val="00A77DBC"/>
    <w:rsid w:val="00A80342"/>
    <w:rsid w:val="00A80AFE"/>
    <w:rsid w:val="00A81AB4"/>
    <w:rsid w:val="00A81EA3"/>
    <w:rsid w:val="00A835CA"/>
    <w:rsid w:val="00A839DC"/>
    <w:rsid w:val="00A83B86"/>
    <w:rsid w:val="00A8432D"/>
    <w:rsid w:val="00A85AD0"/>
    <w:rsid w:val="00A86D60"/>
    <w:rsid w:val="00A87AEC"/>
    <w:rsid w:val="00A9047F"/>
    <w:rsid w:val="00A90D06"/>
    <w:rsid w:val="00A91EDB"/>
    <w:rsid w:val="00A92FC8"/>
    <w:rsid w:val="00A969C4"/>
    <w:rsid w:val="00A97538"/>
    <w:rsid w:val="00AA203B"/>
    <w:rsid w:val="00AA3530"/>
    <w:rsid w:val="00AA4382"/>
    <w:rsid w:val="00AA439C"/>
    <w:rsid w:val="00AA5B65"/>
    <w:rsid w:val="00AA667F"/>
    <w:rsid w:val="00AA6804"/>
    <w:rsid w:val="00AA7F59"/>
    <w:rsid w:val="00AA7FC0"/>
    <w:rsid w:val="00AB10E8"/>
    <w:rsid w:val="00AB15B4"/>
    <w:rsid w:val="00AB44EB"/>
    <w:rsid w:val="00AB4696"/>
    <w:rsid w:val="00AB5821"/>
    <w:rsid w:val="00AB58B2"/>
    <w:rsid w:val="00AC033D"/>
    <w:rsid w:val="00AC0354"/>
    <w:rsid w:val="00AC2D62"/>
    <w:rsid w:val="00AC5011"/>
    <w:rsid w:val="00AC5DD0"/>
    <w:rsid w:val="00AC6B24"/>
    <w:rsid w:val="00AC7184"/>
    <w:rsid w:val="00AD194C"/>
    <w:rsid w:val="00AD198B"/>
    <w:rsid w:val="00AD4A99"/>
    <w:rsid w:val="00AD5DE2"/>
    <w:rsid w:val="00AD6F9A"/>
    <w:rsid w:val="00AD7729"/>
    <w:rsid w:val="00AE210D"/>
    <w:rsid w:val="00AE27CF"/>
    <w:rsid w:val="00AE2E79"/>
    <w:rsid w:val="00AE3CDC"/>
    <w:rsid w:val="00AE437C"/>
    <w:rsid w:val="00AF4825"/>
    <w:rsid w:val="00AF4D2D"/>
    <w:rsid w:val="00AF5830"/>
    <w:rsid w:val="00AF5E8A"/>
    <w:rsid w:val="00AF5FB4"/>
    <w:rsid w:val="00AF6372"/>
    <w:rsid w:val="00AF76B0"/>
    <w:rsid w:val="00B02098"/>
    <w:rsid w:val="00B03DDA"/>
    <w:rsid w:val="00B03F18"/>
    <w:rsid w:val="00B04C7C"/>
    <w:rsid w:val="00B04F05"/>
    <w:rsid w:val="00B05D81"/>
    <w:rsid w:val="00B06A60"/>
    <w:rsid w:val="00B109B1"/>
    <w:rsid w:val="00B12301"/>
    <w:rsid w:val="00B129FB"/>
    <w:rsid w:val="00B12C14"/>
    <w:rsid w:val="00B13236"/>
    <w:rsid w:val="00B133DC"/>
    <w:rsid w:val="00B13799"/>
    <w:rsid w:val="00B13C40"/>
    <w:rsid w:val="00B13EF2"/>
    <w:rsid w:val="00B146B0"/>
    <w:rsid w:val="00B14704"/>
    <w:rsid w:val="00B1497C"/>
    <w:rsid w:val="00B14EE0"/>
    <w:rsid w:val="00B15E0D"/>
    <w:rsid w:val="00B163BE"/>
    <w:rsid w:val="00B20956"/>
    <w:rsid w:val="00B20CE6"/>
    <w:rsid w:val="00B20D30"/>
    <w:rsid w:val="00B22771"/>
    <w:rsid w:val="00B2320F"/>
    <w:rsid w:val="00B232E7"/>
    <w:rsid w:val="00B24277"/>
    <w:rsid w:val="00B24E90"/>
    <w:rsid w:val="00B25492"/>
    <w:rsid w:val="00B263D6"/>
    <w:rsid w:val="00B27332"/>
    <w:rsid w:val="00B3006F"/>
    <w:rsid w:val="00B302A1"/>
    <w:rsid w:val="00B3088A"/>
    <w:rsid w:val="00B30BB9"/>
    <w:rsid w:val="00B3519C"/>
    <w:rsid w:val="00B35790"/>
    <w:rsid w:val="00B373BC"/>
    <w:rsid w:val="00B37F62"/>
    <w:rsid w:val="00B40290"/>
    <w:rsid w:val="00B40AAD"/>
    <w:rsid w:val="00B42135"/>
    <w:rsid w:val="00B439DB"/>
    <w:rsid w:val="00B43A12"/>
    <w:rsid w:val="00B4419F"/>
    <w:rsid w:val="00B44DAA"/>
    <w:rsid w:val="00B47451"/>
    <w:rsid w:val="00B47784"/>
    <w:rsid w:val="00B47C1B"/>
    <w:rsid w:val="00B503DF"/>
    <w:rsid w:val="00B51C52"/>
    <w:rsid w:val="00B52A20"/>
    <w:rsid w:val="00B53898"/>
    <w:rsid w:val="00B55ADD"/>
    <w:rsid w:val="00B56014"/>
    <w:rsid w:val="00B56484"/>
    <w:rsid w:val="00B569F6"/>
    <w:rsid w:val="00B56A8E"/>
    <w:rsid w:val="00B57E64"/>
    <w:rsid w:val="00B601D6"/>
    <w:rsid w:val="00B610C2"/>
    <w:rsid w:val="00B62013"/>
    <w:rsid w:val="00B63A93"/>
    <w:rsid w:val="00B6438C"/>
    <w:rsid w:val="00B65B94"/>
    <w:rsid w:val="00B66000"/>
    <w:rsid w:val="00B66049"/>
    <w:rsid w:val="00B66544"/>
    <w:rsid w:val="00B66ACC"/>
    <w:rsid w:val="00B672DD"/>
    <w:rsid w:val="00B677F6"/>
    <w:rsid w:val="00B6793B"/>
    <w:rsid w:val="00B67CA0"/>
    <w:rsid w:val="00B67EFC"/>
    <w:rsid w:val="00B70622"/>
    <w:rsid w:val="00B74577"/>
    <w:rsid w:val="00B74947"/>
    <w:rsid w:val="00B75944"/>
    <w:rsid w:val="00B75A5A"/>
    <w:rsid w:val="00B7630D"/>
    <w:rsid w:val="00B80397"/>
    <w:rsid w:val="00B8039B"/>
    <w:rsid w:val="00B80499"/>
    <w:rsid w:val="00B8191D"/>
    <w:rsid w:val="00B83F19"/>
    <w:rsid w:val="00B84ECC"/>
    <w:rsid w:val="00B864D7"/>
    <w:rsid w:val="00B903DE"/>
    <w:rsid w:val="00B90462"/>
    <w:rsid w:val="00B91282"/>
    <w:rsid w:val="00B92D0B"/>
    <w:rsid w:val="00B93237"/>
    <w:rsid w:val="00B945E9"/>
    <w:rsid w:val="00B9555E"/>
    <w:rsid w:val="00B95672"/>
    <w:rsid w:val="00B956EB"/>
    <w:rsid w:val="00B95C79"/>
    <w:rsid w:val="00B9612A"/>
    <w:rsid w:val="00B96B84"/>
    <w:rsid w:val="00BA1EB4"/>
    <w:rsid w:val="00BA29CF"/>
    <w:rsid w:val="00BA468E"/>
    <w:rsid w:val="00BA6033"/>
    <w:rsid w:val="00BA648D"/>
    <w:rsid w:val="00BA70FA"/>
    <w:rsid w:val="00BA7BE4"/>
    <w:rsid w:val="00BB0D2E"/>
    <w:rsid w:val="00BB1741"/>
    <w:rsid w:val="00BB1C03"/>
    <w:rsid w:val="00BB2112"/>
    <w:rsid w:val="00BB6817"/>
    <w:rsid w:val="00BB6F72"/>
    <w:rsid w:val="00BB7529"/>
    <w:rsid w:val="00BC0117"/>
    <w:rsid w:val="00BC0F96"/>
    <w:rsid w:val="00BC10FA"/>
    <w:rsid w:val="00BC1614"/>
    <w:rsid w:val="00BC23BE"/>
    <w:rsid w:val="00BC3F02"/>
    <w:rsid w:val="00BC444A"/>
    <w:rsid w:val="00BC5BA4"/>
    <w:rsid w:val="00BC6092"/>
    <w:rsid w:val="00BC61D4"/>
    <w:rsid w:val="00BC7007"/>
    <w:rsid w:val="00BD21E6"/>
    <w:rsid w:val="00BD2760"/>
    <w:rsid w:val="00BD2F24"/>
    <w:rsid w:val="00BD2FDB"/>
    <w:rsid w:val="00BD460C"/>
    <w:rsid w:val="00BD67B3"/>
    <w:rsid w:val="00BD6A7A"/>
    <w:rsid w:val="00BD6A9F"/>
    <w:rsid w:val="00BD6CBF"/>
    <w:rsid w:val="00BD7125"/>
    <w:rsid w:val="00BE0F26"/>
    <w:rsid w:val="00BE252A"/>
    <w:rsid w:val="00BE26B0"/>
    <w:rsid w:val="00BE3D6B"/>
    <w:rsid w:val="00BE6893"/>
    <w:rsid w:val="00BE7856"/>
    <w:rsid w:val="00BE78FC"/>
    <w:rsid w:val="00BE7FA8"/>
    <w:rsid w:val="00BF020A"/>
    <w:rsid w:val="00BF357F"/>
    <w:rsid w:val="00BF3DCA"/>
    <w:rsid w:val="00BF4634"/>
    <w:rsid w:val="00BF52DD"/>
    <w:rsid w:val="00BF71ED"/>
    <w:rsid w:val="00BF7ABD"/>
    <w:rsid w:val="00C02816"/>
    <w:rsid w:val="00C02F5C"/>
    <w:rsid w:val="00C04074"/>
    <w:rsid w:val="00C04CA0"/>
    <w:rsid w:val="00C04D8E"/>
    <w:rsid w:val="00C07F9E"/>
    <w:rsid w:val="00C11C7D"/>
    <w:rsid w:val="00C13C56"/>
    <w:rsid w:val="00C174A3"/>
    <w:rsid w:val="00C17714"/>
    <w:rsid w:val="00C178A9"/>
    <w:rsid w:val="00C204F7"/>
    <w:rsid w:val="00C231FA"/>
    <w:rsid w:val="00C2323D"/>
    <w:rsid w:val="00C23CF3"/>
    <w:rsid w:val="00C24A8B"/>
    <w:rsid w:val="00C2524D"/>
    <w:rsid w:val="00C26334"/>
    <w:rsid w:val="00C27150"/>
    <w:rsid w:val="00C27F2D"/>
    <w:rsid w:val="00C315A6"/>
    <w:rsid w:val="00C32318"/>
    <w:rsid w:val="00C325A0"/>
    <w:rsid w:val="00C32AB1"/>
    <w:rsid w:val="00C32EF3"/>
    <w:rsid w:val="00C33E71"/>
    <w:rsid w:val="00C37E31"/>
    <w:rsid w:val="00C4026D"/>
    <w:rsid w:val="00C42335"/>
    <w:rsid w:val="00C43BEF"/>
    <w:rsid w:val="00C44685"/>
    <w:rsid w:val="00C449D5"/>
    <w:rsid w:val="00C45243"/>
    <w:rsid w:val="00C46B47"/>
    <w:rsid w:val="00C47EBB"/>
    <w:rsid w:val="00C50051"/>
    <w:rsid w:val="00C5072B"/>
    <w:rsid w:val="00C5130A"/>
    <w:rsid w:val="00C513D8"/>
    <w:rsid w:val="00C525A7"/>
    <w:rsid w:val="00C53162"/>
    <w:rsid w:val="00C5653B"/>
    <w:rsid w:val="00C56555"/>
    <w:rsid w:val="00C60DDF"/>
    <w:rsid w:val="00C6119F"/>
    <w:rsid w:val="00C62D9D"/>
    <w:rsid w:val="00C63264"/>
    <w:rsid w:val="00C65068"/>
    <w:rsid w:val="00C666C1"/>
    <w:rsid w:val="00C6670C"/>
    <w:rsid w:val="00C673EF"/>
    <w:rsid w:val="00C67C97"/>
    <w:rsid w:val="00C7102F"/>
    <w:rsid w:val="00C715EC"/>
    <w:rsid w:val="00C73A51"/>
    <w:rsid w:val="00C74262"/>
    <w:rsid w:val="00C75375"/>
    <w:rsid w:val="00C755AC"/>
    <w:rsid w:val="00C80BC8"/>
    <w:rsid w:val="00C80BFE"/>
    <w:rsid w:val="00C81F3A"/>
    <w:rsid w:val="00C8364D"/>
    <w:rsid w:val="00C8639C"/>
    <w:rsid w:val="00C8681E"/>
    <w:rsid w:val="00C8728E"/>
    <w:rsid w:val="00C925F8"/>
    <w:rsid w:val="00C940B5"/>
    <w:rsid w:val="00C96D09"/>
    <w:rsid w:val="00C96D25"/>
    <w:rsid w:val="00CA0514"/>
    <w:rsid w:val="00CA2BBA"/>
    <w:rsid w:val="00CA3212"/>
    <w:rsid w:val="00CA423D"/>
    <w:rsid w:val="00CA4608"/>
    <w:rsid w:val="00CA73AE"/>
    <w:rsid w:val="00CA7E7E"/>
    <w:rsid w:val="00CB0F82"/>
    <w:rsid w:val="00CB19EC"/>
    <w:rsid w:val="00CB4DBC"/>
    <w:rsid w:val="00CB5090"/>
    <w:rsid w:val="00CB5825"/>
    <w:rsid w:val="00CB7EDD"/>
    <w:rsid w:val="00CC0604"/>
    <w:rsid w:val="00CC2AA5"/>
    <w:rsid w:val="00CC31B9"/>
    <w:rsid w:val="00CC6137"/>
    <w:rsid w:val="00CC63BD"/>
    <w:rsid w:val="00CD081E"/>
    <w:rsid w:val="00CD087E"/>
    <w:rsid w:val="00CD29A0"/>
    <w:rsid w:val="00CD47BE"/>
    <w:rsid w:val="00CD6AFC"/>
    <w:rsid w:val="00CE05B9"/>
    <w:rsid w:val="00CE0C0D"/>
    <w:rsid w:val="00CE1FBC"/>
    <w:rsid w:val="00CE29EA"/>
    <w:rsid w:val="00CE47FB"/>
    <w:rsid w:val="00CE6C6E"/>
    <w:rsid w:val="00CE6E4D"/>
    <w:rsid w:val="00CE75DB"/>
    <w:rsid w:val="00CE79E9"/>
    <w:rsid w:val="00CF1CF1"/>
    <w:rsid w:val="00CF557C"/>
    <w:rsid w:val="00CF6E8F"/>
    <w:rsid w:val="00CF72D6"/>
    <w:rsid w:val="00D01141"/>
    <w:rsid w:val="00D0142F"/>
    <w:rsid w:val="00D023F6"/>
    <w:rsid w:val="00D04543"/>
    <w:rsid w:val="00D07B5B"/>
    <w:rsid w:val="00D11045"/>
    <w:rsid w:val="00D111ED"/>
    <w:rsid w:val="00D1147A"/>
    <w:rsid w:val="00D13F4F"/>
    <w:rsid w:val="00D1530F"/>
    <w:rsid w:val="00D162B2"/>
    <w:rsid w:val="00D171E9"/>
    <w:rsid w:val="00D1765A"/>
    <w:rsid w:val="00D1767C"/>
    <w:rsid w:val="00D179D5"/>
    <w:rsid w:val="00D17BEE"/>
    <w:rsid w:val="00D207B8"/>
    <w:rsid w:val="00D20B8C"/>
    <w:rsid w:val="00D2197A"/>
    <w:rsid w:val="00D227A5"/>
    <w:rsid w:val="00D2694B"/>
    <w:rsid w:val="00D26F32"/>
    <w:rsid w:val="00D30385"/>
    <w:rsid w:val="00D30A58"/>
    <w:rsid w:val="00D31E6D"/>
    <w:rsid w:val="00D33BA9"/>
    <w:rsid w:val="00D34A10"/>
    <w:rsid w:val="00D34C62"/>
    <w:rsid w:val="00D34C73"/>
    <w:rsid w:val="00D35967"/>
    <w:rsid w:val="00D362AA"/>
    <w:rsid w:val="00D3673E"/>
    <w:rsid w:val="00D37523"/>
    <w:rsid w:val="00D432B6"/>
    <w:rsid w:val="00D4483C"/>
    <w:rsid w:val="00D46C6F"/>
    <w:rsid w:val="00D46FA9"/>
    <w:rsid w:val="00D471AC"/>
    <w:rsid w:val="00D478A5"/>
    <w:rsid w:val="00D478E5"/>
    <w:rsid w:val="00D518C0"/>
    <w:rsid w:val="00D5375C"/>
    <w:rsid w:val="00D54783"/>
    <w:rsid w:val="00D5559D"/>
    <w:rsid w:val="00D57754"/>
    <w:rsid w:val="00D57C2D"/>
    <w:rsid w:val="00D62328"/>
    <w:rsid w:val="00D6249A"/>
    <w:rsid w:val="00D65027"/>
    <w:rsid w:val="00D70630"/>
    <w:rsid w:val="00D7269D"/>
    <w:rsid w:val="00D727FC"/>
    <w:rsid w:val="00D733B9"/>
    <w:rsid w:val="00D769AD"/>
    <w:rsid w:val="00D77896"/>
    <w:rsid w:val="00D77C88"/>
    <w:rsid w:val="00D81363"/>
    <w:rsid w:val="00D815E2"/>
    <w:rsid w:val="00D8240B"/>
    <w:rsid w:val="00D827FA"/>
    <w:rsid w:val="00D83651"/>
    <w:rsid w:val="00D84940"/>
    <w:rsid w:val="00D84BD3"/>
    <w:rsid w:val="00D84EE9"/>
    <w:rsid w:val="00D85F4B"/>
    <w:rsid w:val="00D86361"/>
    <w:rsid w:val="00D9025D"/>
    <w:rsid w:val="00D90AE9"/>
    <w:rsid w:val="00D91107"/>
    <w:rsid w:val="00D91D23"/>
    <w:rsid w:val="00D92230"/>
    <w:rsid w:val="00D92691"/>
    <w:rsid w:val="00D92FFC"/>
    <w:rsid w:val="00D95517"/>
    <w:rsid w:val="00D957C0"/>
    <w:rsid w:val="00D95ABF"/>
    <w:rsid w:val="00DA06C9"/>
    <w:rsid w:val="00DA1047"/>
    <w:rsid w:val="00DA2277"/>
    <w:rsid w:val="00DA2F40"/>
    <w:rsid w:val="00DA3468"/>
    <w:rsid w:val="00DA38CE"/>
    <w:rsid w:val="00DA651F"/>
    <w:rsid w:val="00DA6970"/>
    <w:rsid w:val="00DA73BF"/>
    <w:rsid w:val="00DA7B41"/>
    <w:rsid w:val="00DA7FE0"/>
    <w:rsid w:val="00DB0D8D"/>
    <w:rsid w:val="00DB35A3"/>
    <w:rsid w:val="00DB45E0"/>
    <w:rsid w:val="00DB5B9F"/>
    <w:rsid w:val="00DB6092"/>
    <w:rsid w:val="00DB72FF"/>
    <w:rsid w:val="00DB7726"/>
    <w:rsid w:val="00DB7950"/>
    <w:rsid w:val="00DC1200"/>
    <w:rsid w:val="00DC13A3"/>
    <w:rsid w:val="00DC1531"/>
    <w:rsid w:val="00DC1592"/>
    <w:rsid w:val="00DC3D15"/>
    <w:rsid w:val="00DC45AC"/>
    <w:rsid w:val="00DC6556"/>
    <w:rsid w:val="00DC69D1"/>
    <w:rsid w:val="00DC7044"/>
    <w:rsid w:val="00DC726D"/>
    <w:rsid w:val="00DC7E1A"/>
    <w:rsid w:val="00DC7E57"/>
    <w:rsid w:val="00DD15B2"/>
    <w:rsid w:val="00DD1937"/>
    <w:rsid w:val="00DD2053"/>
    <w:rsid w:val="00DD2CF8"/>
    <w:rsid w:val="00DD30B9"/>
    <w:rsid w:val="00DD4469"/>
    <w:rsid w:val="00DD456A"/>
    <w:rsid w:val="00DD4E44"/>
    <w:rsid w:val="00DD5560"/>
    <w:rsid w:val="00DD5F22"/>
    <w:rsid w:val="00DD6219"/>
    <w:rsid w:val="00DD66CA"/>
    <w:rsid w:val="00DD6C8F"/>
    <w:rsid w:val="00DE0FAE"/>
    <w:rsid w:val="00DE14A8"/>
    <w:rsid w:val="00DE15B4"/>
    <w:rsid w:val="00DE38AB"/>
    <w:rsid w:val="00DE3B25"/>
    <w:rsid w:val="00DE5FCC"/>
    <w:rsid w:val="00DE61AD"/>
    <w:rsid w:val="00DE65B7"/>
    <w:rsid w:val="00DF076C"/>
    <w:rsid w:val="00DF119B"/>
    <w:rsid w:val="00DF1BA7"/>
    <w:rsid w:val="00DF230C"/>
    <w:rsid w:val="00DF3019"/>
    <w:rsid w:val="00DF3E6C"/>
    <w:rsid w:val="00DF4358"/>
    <w:rsid w:val="00DF4442"/>
    <w:rsid w:val="00DF516D"/>
    <w:rsid w:val="00DF7017"/>
    <w:rsid w:val="00DF743C"/>
    <w:rsid w:val="00DF7609"/>
    <w:rsid w:val="00DF7697"/>
    <w:rsid w:val="00DF7E30"/>
    <w:rsid w:val="00E015C3"/>
    <w:rsid w:val="00E03D96"/>
    <w:rsid w:val="00E0434C"/>
    <w:rsid w:val="00E044EC"/>
    <w:rsid w:val="00E04E1C"/>
    <w:rsid w:val="00E0517E"/>
    <w:rsid w:val="00E0677D"/>
    <w:rsid w:val="00E11E7D"/>
    <w:rsid w:val="00E11F1B"/>
    <w:rsid w:val="00E125F6"/>
    <w:rsid w:val="00E1378D"/>
    <w:rsid w:val="00E14B7C"/>
    <w:rsid w:val="00E16C04"/>
    <w:rsid w:val="00E21E77"/>
    <w:rsid w:val="00E224B8"/>
    <w:rsid w:val="00E22D92"/>
    <w:rsid w:val="00E25C6D"/>
    <w:rsid w:val="00E25FA2"/>
    <w:rsid w:val="00E26E69"/>
    <w:rsid w:val="00E271F7"/>
    <w:rsid w:val="00E27323"/>
    <w:rsid w:val="00E27497"/>
    <w:rsid w:val="00E315D0"/>
    <w:rsid w:val="00E321EA"/>
    <w:rsid w:val="00E327F6"/>
    <w:rsid w:val="00E32B7C"/>
    <w:rsid w:val="00E32C01"/>
    <w:rsid w:val="00E33EAE"/>
    <w:rsid w:val="00E3463D"/>
    <w:rsid w:val="00E35C97"/>
    <w:rsid w:val="00E36D0F"/>
    <w:rsid w:val="00E371F7"/>
    <w:rsid w:val="00E412D5"/>
    <w:rsid w:val="00E415D6"/>
    <w:rsid w:val="00E444A9"/>
    <w:rsid w:val="00E45270"/>
    <w:rsid w:val="00E474C2"/>
    <w:rsid w:val="00E50C63"/>
    <w:rsid w:val="00E52EA1"/>
    <w:rsid w:val="00E52EC8"/>
    <w:rsid w:val="00E5337A"/>
    <w:rsid w:val="00E53C5F"/>
    <w:rsid w:val="00E54D88"/>
    <w:rsid w:val="00E54DD5"/>
    <w:rsid w:val="00E565A4"/>
    <w:rsid w:val="00E56778"/>
    <w:rsid w:val="00E611BA"/>
    <w:rsid w:val="00E611CA"/>
    <w:rsid w:val="00E623BF"/>
    <w:rsid w:val="00E6368B"/>
    <w:rsid w:val="00E63789"/>
    <w:rsid w:val="00E63B92"/>
    <w:rsid w:val="00E666AB"/>
    <w:rsid w:val="00E66ED0"/>
    <w:rsid w:val="00E6776C"/>
    <w:rsid w:val="00E67C76"/>
    <w:rsid w:val="00E703EC"/>
    <w:rsid w:val="00E73E38"/>
    <w:rsid w:val="00E744DC"/>
    <w:rsid w:val="00E746B3"/>
    <w:rsid w:val="00E769FB"/>
    <w:rsid w:val="00E773C8"/>
    <w:rsid w:val="00E77584"/>
    <w:rsid w:val="00E77959"/>
    <w:rsid w:val="00E818FD"/>
    <w:rsid w:val="00E82004"/>
    <w:rsid w:val="00E82849"/>
    <w:rsid w:val="00E83902"/>
    <w:rsid w:val="00E8396E"/>
    <w:rsid w:val="00E8464C"/>
    <w:rsid w:val="00E86AF7"/>
    <w:rsid w:val="00E86F94"/>
    <w:rsid w:val="00E90389"/>
    <w:rsid w:val="00E90D2D"/>
    <w:rsid w:val="00E90DF0"/>
    <w:rsid w:val="00E91421"/>
    <w:rsid w:val="00E93995"/>
    <w:rsid w:val="00E93A4B"/>
    <w:rsid w:val="00E93D2A"/>
    <w:rsid w:val="00E94175"/>
    <w:rsid w:val="00E94710"/>
    <w:rsid w:val="00E9648A"/>
    <w:rsid w:val="00EA0378"/>
    <w:rsid w:val="00EA0CA8"/>
    <w:rsid w:val="00EA1204"/>
    <w:rsid w:val="00EA414C"/>
    <w:rsid w:val="00EA52B8"/>
    <w:rsid w:val="00EA5321"/>
    <w:rsid w:val="00EB0C40"/>
    <w:rsid w:val="00EB111E"/>
    <w:rsid w:val="00EB121B"/>
    <w:rsid w:val="00EB2448"/>
    <w:rsid w:val="00EB373B"/>
    <w:rsid w:val="00EB38DD"/>
    <w:rsid w:val="00EB395D"/>
    <w:rsid w:val="00EB4DB0"/>
    <w:rsid w:val="00EB779B"/>
    <w:rsid w:val="00EB77F1"/>
    <w:rsid w:val="00EC33DA"/>
    <w:rsid w:val="00EC3F98"/>
    <w:rsid w:val="00EC45DE"/>
    <w:rsid w:val="00EC46A7"/>
    <w:rsid w:val="00EC575D"/>
    <w:rsid w:val="00EC7D20"/>
    <w:rsid w:val="00ED00B9"/>
    <w:rsid w:val="00ED4890"/>
    <w:rsid w:val="00ED656F"/>
    <w:rsid w:val="00EE0010"/>
    <w:rsid w:val="00EE085C"/>
    <w:rsid w:val="00EE0E2D"/>
    <w:rsid w:val="00EE10D8"/>
    <w:rsid w:val="00EE13B2"/>
    <w:rsid w:val="00EE1F8D"/>
    <w:rsid w:val="00EE3A7D"/>
    <w:rsid w:val="00EE46F7"/>
    <w:rsid w:val="00EE48E9"/>
    <w:rsid w:val="00EE60C7"/>
    <w:rsid w:val="00EE7750"/>
    <w:rsid w:val="00EF043B"/>
    <w:rsid w:val="00EF04F7"/>
    <w:rsid w:val="00EF1967"/>
    <w:rsid w:val="00EF19BA"/>
    <w:rsid w:val="00EF2ED6"/>
    <w:rsid w:val="00EF4D10"/>
    <w:rsid w:val="00EF4E1C"/>
    <w:rsid w:val="00EF526D"/>
    <w:rsid w:val="00F005BD"/>
    <w:rsid w:val="00F010BC"/>
    <w:rsid w:val="00F01C6D"/>
    <w:rsid w:val="00F03D43"/>
    <w:rsid w:val="00F0499A"/>
    <w:rsid w:val="00F05D72"/>
    <w:rsid w:val="00F10487"/>
    <w:rsid w:val="00F10C6C"/>
    <w:rsid w:val="00F115F1"/>
    <w:rsid w:val="00F125F8"/>
    <w:rsid w:val="00F145DF"/>
    <w:rsid w:val="00F1523F"/>
    <w:rsid w:val="00F1707D"/>
    <w:rsid w:val="00F17420"/>
    <w:rsid w:val="00F17E9A"/>
    <w:rsid w:val="00F17F30"/>
    <w:rsid w:val="00F20041"/>
    <w:rsid w:val="00F216D1"/>
    <w:rsid w:val="00F223BE"/>
    <w:rsid w:val="00F2266B"/>
    <w:rsid w:val="00F23597"/>
    <w:rsid w:val="00F239BC"/>
    <w:rsid w:val="00F24043"/>
    <w:rsid w:val="00F2435C"/>
    <w:rsid w:val="00F248E8"/>
    <w:rsid w:val="00F24929"/>
    <w:rsid w:val="00F260E3"/>
    <w:rsid w:val="00F2657E"/>
    <w:rsid w:val="00F2699D"/>
    <w:rsid w:val="00F26F22"/>
    <w:rsid w:val="00F27148"/>
    <w:rsid w:val="00F271A3"/>
    <w:rsid w:val="00F30A2E"/>
    <w:rsid w:val="00F3136F"/>
    <w:rsid w:val="00F31FE7"/>
    <w:rsid w:val="00F32EDC"/>
    <w:rsid w:val="00F34CB5"/>
    <w:rsid w:val="00F35C5C"/>
    <w:rsid w:val="00F35CBE"/>
    <w:rsid w:val="00F363E9"/>
    <w:rsid w:val="00F36DB7"/>
    <w:rsid w:val="00F40036"/>
    <w:rsid w:val="00F400C0"/>
    <w:rsid w:val="00F41852"/>
    <w:rsid w:val="00F41E77"/>
    <w:rsid w:val="00F42248"/>
    <w:rsid w:val="00F43597"/>
    <w:rsid w:val="00F43E76"/>
    <w:rsid w:val="00F45922"/>
    <w:rsid w:val="00F459F0"/>
    <w:rsid w:val="00F45A17"/>
    <w:rsid w:val="00F45AC6"/>
    <w:rsid w:val="00F45E65"/>
    <w:rsid w:val="00F45FD4"/>
    <w:rsid w:val="00F46AF6"/>
    <w:rsid w:val="00F47A40"/>
    <w:rsid w:val="00F51FB5"/>
    <w:rsid w:val="00F520EA"/>
    <w:rsid w:val="00F5284F"/>
    <w:rsid w:val="00F53EA6"/>
    <w:rsid w:val="00F544B5"/>
    <w:rsid w:val="00F54B69"/>
    <w:rsid w:val="00F5687A"/>
    <w:rsid w:val="00F60E1B"/>
    <w:rsid w:val="00F62284"/>
    <w:rsid w:val="00F638DB"/>
    <w:rsid w:val="00F65E0E"/>
    <w:rsid w:val="00F66547"/>
    <w:rsid w:val="00F6721E"/>
    <w:rsid w:val="00F72D2A"/>
    <w:rsid w:val="00F72F68"/>
    <w:rsid w:val="00F742F2"/>
    <w:rsid w:val="00F74719"/>
    <w:rsid w:val="00F74949"/>
    <w:rsid w:val="00F74A23"/>
    <w:rsid w:val="00F75EFF"/>
    <w:rsid w:val="00F76B0B"/>
    <w:rsid w:val="00F773A2"/>
    <w:rsid w:val="00F77C62"/>
    <w:rsid w:val="00F800BB"/>
    <w:rsid w:val="00F81195"/>
    <w:rsid w:val="00F812BE"/>
    <w:rsid w:val="00F81A2A"/>
    <w:rsid w:val="00F8221A"/>
    <w:rsid w:val="00F832C7"/>
    <w:rsid w:val="00F84F17"/>
    <w:rsid w:val="00F85BDF"/>
    <w:rsid w:val="00F86B9D"/>
    <w:rsid w:val="00F90873"/>
    <w:rsid w:val="00F90B1E"/>
    <w:rsid w:val="00F91C78"/>
    <w:rsid w:val="00F91CCE"/>
    <w:rsid w:val="00F931E7"/>
    <w:rsid w:val="00F96F6F"/>
    <w:rsid w:val="00FA01BA"/>
    <w:rsid w:val="00FA11B9"/>
    <w:rsid w:val="00FA11C4"/>
    <w:rsid w:val="00FA4360"/>
    <w:rsid w:val="00FA60AF"/>
    <w:rsid w:val="00FA70C2"/>
    <w:rsid w:val="00FB010F"/>
    <w:rsid w:val="00FB1799"/>
    <w:rsid w:val="00FB2657"/>
    <w:rsid w:val="00FB2DF8"/>
    <w:rsid w:val="00FB3F2A"/>
    <w:rsid w:val="00FB4779"/>
    <w:rsid w:val="00FB4931"/>
    <w:rsid w:val="00FC04E4"/>
    <w:rsid w:val="00FC096C"/>
    <w:rsid w:val="00FC390C"/>
    <w:rsid w:val="00FC47C5"/>
    <w:rsid w:val="00FC5AE1"/>
    <w:rsid w:val="00FC6F15"/>
    <w:rsid w:val="00FC717C"/>
    <w:rsid w:val="00FC79FF"/>
    <w:rsid w:val="00FD0FC5"/>
    <w:rsid w:val="00FD1CFA"/>
    <w:rsid w:val="00FD3006"/>
    <w:rsid w:val="00FD3E8B"/>
    <w:rsid w:val="00FD415E"/>
    <w:rsid w:val="00FD4321"/>
    <w:rsid w:val="00FD470F"/>
    <w:rsid w:val="00FD4AAC"/>
    <w:rsid w:val="00FD52C2"/>
    <w:rsid w:val="00FD6188"/>
    <w:rsid w:val="00FD6451"/>
    <w:rsid w:val="00FD7073"/>
    <w:rsid w:val="00FD714C"/>
    <w:rsid w:val="00FD74D5"/>
    <w:rsid w:val="00FE2A3E"/>
    <w:rsid w:val="00FE31F4"/>
    <w:rsid w:val="00FE383D"/>
    <w:rsid w:val="00FE39F3"/>
    <w:rsid w:val="00FE4030"/>
    <w:rsid w:val="00FE5EB4"/>
    <w:rsid w:val="00FE731D"/>
    <w:rsid w:val="00FF132D"/>
    <w:rsid w:val="00FF1525"/>
    <w:rsid w:val="00FF1B7C"/>
    <w:rsid w:val="00FF2F0D"/>
    <w:rsid w:val="00FF4F66"/>
    <w:rsid w:val="00FF5BFE"/>
    <w:rsid w:val="00FF5E77"/>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19C"/>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403752"/>
    <w:rPr>
      <w:rFonts w:cs="Times New Roman"/>
      <w:color w:val="0000FF"/>
      <w:u w:val="single"/>
    </w:rPr>
  </w:style>
  <w:style w:type="paragraph" w:styleId="Prrafodelista">
    <w:name w:val="List Paragraph"/>
    <w:basedOn w:val="Normal"/>
    <w:uiPriority w:val="34"/>
    <w:qFormat/>
    <w:rsid w:val="00403752"/>
    <w:pPr>
      <w:ind w:left="720"/>
      <w:contextualSpacing/>
    </w:pPr>
  </w:style>
  <w:style w:type="paragraph" w:styleId="Encabezado">
    <w:name w:val="header"/>
    <w:basedOn w:val="Normal"/>
    <w:link w:val="EncabezadoCar"/>
    <w:uiPriority w:val="99"/>
    <w:rsid w:val="00403752"/>
    <w:pPr>
      <w:tabs>
        <w:tab w:val="center" w:pos="4419"/>
        <w:tab w:val="right" w:pos="8838"/>
      </w:tabs>
      <w:spacing w:after="0" w:line="240" w:lineRule="auto"/>
    </w:pPr>
  </w:style>
  <w:style w:type="character" w:customStyle="1" w:styleId="EncabezadoCar">
    <w:name w:val="Encabezado Car"/>
    <w:link w:val="Encabezado"/>
    <w:uiPriority w:val="99"/>
    <w:rsid w:val="00403752"/>
    <w:rPr>
      <w:rFonts w:ascii="Calibri" w:eastAsia="Calibri" w:hAnsi="Calibri" w:cs="Times New Roman"/>
    </w:rPr>
  </w:style>
  <w:style w:type="paragraph" w:styleId="Piedepgina">
    <w:name w:val="footer"/>
    <w:basedOn w:val="Normal"/>
    <w:link w:val="PiedepginaCar"/>
    <w:uiPriority w:val="99"/>
    <w:rsid w:val="00403752"/>
    <w:pPr>
      <w:tabs>
        <w:tab w:val="center" w:pos="4419"/>
        <w:tab w:val="right" w:pos="8838"/>
      </w:tabs>
      <w:spacing w:after="0" w:line="240" w:lineRule="auto"/>
    </w:pPr>
  </w:style>
  <w:style w:type="character" w:customStyle="1" w:styleId="PiedepginaCar">
    <w:name w:val="Pie de página Car"/>
    <w:link w:val="Piedepgina"/>
    <w:uiPriority w:val="99"/>
    <w:rsid w:val="00403752"/>
    <w:rPr>
      <w:rFonts w:ascii="Calibri" w:eastAsia="Calibri" w:hAnsi="Calibri" w:cs="Times New Roman"/>
    </w:rPr>
  </w:style>
  <w:style w:type="paragraph" w:styleId="Textodeglobo">
    <w:name w:val="Balloon Text"/>
    <w:basedOn w:val="Normal"/>
    <w:link w:val="TextodegloboCar"/>
    <w:uiPriority w:val="99"/>
    <w:semiHidden/>
    <w:unhideWhenUsed/>
    <w:rsid w:val="00403752"/>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403752"/>
    <w:rPr>
      <w:rFonts w:ascii="Tahoma" w:eastAsia="Calibri" w:hAnsi="Tahoma" w:cs="Tahoma"/>
      <w:sz w:val="16"/>
      <w:szCs w:val="16"/>
    </w:rPr>
  </w:style>
  <w:style w:type="paragraph" w:styleId="Textoindependiente">
    <w:name w:val="Body Text"/>
    <w:basedOn w:val="Normal"/>
    <w:link w:val="TextoindependienteCar"/>
    <w:unhideWhenUsed/>
    <w:rsid w:val="0085183B"/>
    <w:pPr>
      <w:spacing w:after="0" w:line="240" w:lineRule="auto"/>
      <w:jc w:val="both"/>
    </w:pPr>
    <w:rPr>
      <w:rFonts w:ascii="Times New Roman" w:eastAsia="Times New Roman" w:hAnsi="Times New Roman"/>
      <w:sz w:val="24"/>
      <w:szCs w:val="24"/>
      <w:lang w:eastAsia="es-ES"/>
    </w:rPr>
  </w:style>
  <w:style w:type="character" w:customStyle="1" w:styleId="TextoindependienteCar">
    <w:name w:val="Texto independiente Car"/>
    <w:link w:val="Textoindependiente"/>
    <w:rsid w:val="0085183B"/>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semiHidden/>
    <w:unhideWhenUsed/>
    <w:rsid w:val="0085183B"/>
    <w:pPr>
      <w:spacing w:after="0" w:line="240" w:lineRule="auto"/>
    </w:pPr>
    <w:rPr>
      <w:rFonts w:ascii="Arial" w:eastAsia="Times New Roman" w:hAnsi="Arial" w:cs="Arial"/>
      <w:b/>
      <w:bCs/>
      <w:szCs w:val="24"/>
    </w:rPr>
  </w:style>
  <w:style w:type="character" w:customStyle="1" w:styleId="Textoindependiente2Car">
    <w:name w:val="Texto independiente 2 Car"/>
    <w:link w:val="Textoindependiente2"/>
    <w:semiHidden/>
    <w:rsid w:val="0085183B"/>
    <w:rPr>
      <w:rFonts w:ascii="Arial" w:eastAsia="Times New Roman" w:hAnsi="Arial" w:cs="Arial"/>
      <w:b/>
      <w:bCs/>
      <w:szCs w:val="24"/>
    </w:rPr>
  </w:style>
  <w:style w:type="paragraph" w:styleId="Sinespaciado">
    <w:name w:val="No Spacing"/>
    <w:uiPriority w:val="1"/>
    <w:qFormat/>
    <w:rsid w:val="00267AC1"/>
    <w:rPr>
      <w:sz w:val="22"/>
      <w:szCs w:val="22"/>
      <w:lang w:eastAsia="en-US"/>
    </w:rPr>
  </w:style>
  <w:style w:type="table" w:styleId="Tablaconcuadrcula">
    <w:name w:val="Table Grid"/>
    <w:basedOn w:val="Tablanormal"/>
    <w:uiPriority w:val="59"/>
    <w:rsid w:val="00267AC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832C7"/>
    <w:pPr>
      <w:autoSpaceDE w:val="0"/>
      <w:autoSpaceDN w:val="0"/>
      <w:adjustRightInd w:val="0"/>
    </w:pPr>
    <w:rPr>
      <w:rFonts w:cs="Calibri"/>
      <w:color w:val="000000"/>
      <w:sz w:val="24"/>
      <w:szCs w:val="24"/>
      <w:lang w:eastAsia="en-US"/>
    </w:rPr>
  </w:style>
  <w:style w:type="character" w:styleId="nfasis">
    <w:name w:val="Emphasis"/>
    <w:uiPriority w:val="20"/>
    <w:qFormat/>
    <w:rsid w:val="00400009"/>
    <w:rPr>
      <w:i/>
      <w:iCs/>
    </w:rPr>
  </w:style>
  <w:style w:type="paragraph" w:styleId="NormalWeb">
    <w:name w:val="Normal (Web)"/>
    <w:basedOn w:val="Normal"/>
    <w:uiPriority w:val="99"/>
    <w:unhideWhenUsed/>
    <w:rsid w:val="00697D72"/>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oggle">
    <w:name w:val="toggle"/>
    <w:basedOn w:val="Fuentedeprrafopredeter"/>
    <w:rsid w:val="001C7E67"/>
  </w:style>
  <w:style w:type="table" w:customStyle="1" w:styleId="Cuadrculaclara-nfasis11">
    <w:name w:val="Cuadrícula clara - Énfasis 11"/>
    <w:basedOn w:val="Tablanormal"/>
    <w:uiPriority w:val="62"/>
    <w:rsid w:val="00690A85"/>
    <w:rPr>
      <w:rFonts w:asciiTheme="minorHAnsi" w:eastAsiaTheme="minorEastAsia"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Textoennegrita">
    <w:name w:val="Strong"/>
    <w:basedOn w:val="Fuentedeprrafopredeter"/>
    <w:uiPriority w:val="22"/>
    <w:qFormat/>
    <w:rsid w:val="002336B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19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03752"/>
    <w:rPr>
      <w:rFonts w:cs="Times New Roman"/>
      <w:color w:val="0000FF"/>
      <w:u w:val="single"/>
    </w:rPr>
  </w:style>
  <w:style w:type="paragraph" w:styleId="ListParagraph">
    <w:name w:val="List Paragraph"/>
    <w:basedOn w:val="Normal"/>
    <w:uiPriority w:val="99"/>
    <w:qFormat/>
    <w:rsid w:val="00403752"/>
    <w:pPr>
      <w:ind w:left="720"/>
      <w:contextualSpacing/>
    </w:pPr>
  </w:style>
  <w:style w:type="paragraph" w:styleId="Header">
    <w:name w:val="header"/>
    <w:basedOn w:val="Normal"/>
    <w:link w:val="HeaderChar"/>
    <w:uiPriority w:val="99"/>
    <w:rsid w:val="00403752"/>
    <w:pPr>
      <w:tabs>
        <w:tab w:val="center" w:pos="4419"/>
        <w:tab w:val="right" w:pos="8838"/>
      </w:tabs>
      <w:spacing w:after="0" w:line="240" w:lineRule="auto"/>
    </w:pPr>
  </w:style>
  <w:style w:type="character" w:customStyle="1" w:styleId="HeaderChar">
    <w:name w:val="Header Char"/>
    <w:link w:val="Header"/>
    <w:uiPriority w:val="99"/>
    <w:rsid w:val="00403752"/>
    <w:rPr>
      <w:rFonts w:ascii="Calibri" w:eastAsia="Calibri" w:hAnsi="Calibri" w:cs="Times New Roman"/>
    </w:rPr>
  </w:style>
  <w:style w:type="paragraph" w:styleId="Footer">
    <w:name w:val="footer"/>
    <w:basedOn w:val="Normal"/>
    <w:link w:val="FooterChar"/>
    <w:uiPriority w:val="99"/>
    <w:rsid w:val="00403752"/>
    <w:pPr>
      <w:tabs>
        <w:tab w:val="center" w:pos="4419"/>
        <w:tab w:val="right" w:pos="8838"/>
      </w:tabs>
      <w:spacing w:after="0" w:line="240" w:lineRule="auto"/>
    </w:pPr>
  </w:style>
  <w:style w:type="character" w:customStyle="1" w:styleId="FooterChar">
    <w:name w:val="Footer Char"/>
    <w:link w:val="Footer"/>
    <w:uiPriority w:val="99"/>
    <w:rsid w:val="00403752"/>
    <w:rPr>
      <w:rFonts w:ascii="Calibri" w:eastAsia="Calibri" w:hAnsi="Calibri" w:cs="Times New Roman"/>
    </w:rPr>
  </w:style>
  <w:style w:type="paragraph" w:styleId="BalloonText">
    <w:name w:val="Balloon Text"/>
    <w:basedOn w:val="Normal"/>
    <w:link w:val="BalloonTextChar"/>
    <w:uiPriority w:val="99"/>
    <w:semiHidden/>
    <w:unhideWhenUsed/>
    <w:rsid w:val="0040375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03752"/>
    <w:rPr>
      <w:rFonts w:ascii="Tahoma" w:eastAsia="Calibri" w:hAnsi="Tahoma" w:cs="Tahoma"/>
      <w:sz w:val="16"/>
      <w:szCs w:val="16"/>
    </w:rPr>
  </w:style>
  <w:style w:type="paragraph" w:styleId="BodyText">
    <w:name w:val="Body Text"/>
    <w:basedOn w:val="Normal"/>
    <w:link w:val="BodyTextChar"/>
    <w:unhideWhenUsed/>
    <w:rsid w:val="0085183B"/>
    <w:pPr>
      <w:spacing w:after="0" w:line="240" w:lineRule="auto"/>
      <w:jc w:val="both"/>
    </w:pPr>
    <w:rPr>
      <w:rFonts w:ascii="Times New Roman" w:eastAsia="Times New Roman" w:hAnsi="Times New Roman"/>
      <w:sz w:val="24"/>
      <w:szCs w:val="24"/>
      <w:lang w:eastAsia="es-ES"/>
    </w:rPr>
  </w:style>
  <w:style w:type="character" w:customStyle="1" w:styleId="BodyTextChar">
    <w:name w:val="Body Text Char"/>
    <w:link w:val="BodyText"/>
    <w:rsid w:val="0085183B"/>
    <w:rPr>
      <w:rFonts w:ascii="Times New Roman" w:eastAsia="Times New Roman" w:hAnsi="Times New Roman" w:cs="Times New Roman"/>
      <w:sz w:val="24"/>
      <w:szCs w:val="24"/>
      <w:lang w:eastAsia="es-ES"/>
    </w:rPr>
  </w:style>
  <w:style w:type="paragraph" w:styleId="BodyText2">
    <w:name w:val="Body Text 2"/>
    <w:basedOn w:val="Normal"/>
    <w:link w:val="BodyText2Char"/>
    <w:semiHidden/>
    <w:unhideWhenUsed/>
    <w:rsid w:val="0085183B"/>
    <w:pPr>
      <w:spacing w:after="0" w:line="240" w:lineRule="auto"/>
    </w:pPr>
    <w:rPr>
      <w:rFonts w:ascii="Arial" w:eastAsia="Times New Roman" w:hAnsi="Arial" w:cs="Arial"/>
      <w:b/>
      <w:bCs/>
      <w:szCs w:val="24"/>
    </w:rPr>
  </w:style>
  <w:style w:type="character" w:customStyle="1" w:styleId="BodyText2Char">
    <w:name w:val="Body Text 2 Char"/>
    <w:link w:val="BodyText2"/>
    <w:semiHidden/>
    <w:rsid w:val="0085183B"/>
    <w:rPr>
      <w:rFonts w:ascii="Arial" w:eastAsia="Times New Roman" w:hAnsi="Arial" w:cs="Arial"/>
      <w:b/>
      <w:bCs/>
      <w:szCs w:val="24"/>
    </w:rPr>
  </w:style>
  <w:style w:type="paragraph" w:styleId="NoSpacing">
    <w:name w:val="No Spacing"/>
    <w:uiPriority w:val="1"/>
    <w:qFormat/>
    <w:rsid w:val="00267AC1"/>
    <w:rPr>
      <w:sz w:val="22"/>
      <w:szCs w:val="22"/>
      <w:lang w:eastAsia="en-US"/>
    </w:rPr>
  </w:style>
  <w:style w:type="table" w:styleId="TableGrid">
    <w:name w:val="Table Grid"/>
    <w:basedOn w:val="TableNormal"/>
    <w:uiPriority w:val="59"/>
    <w:rsid w:val="00267AC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832C7"/>
    <w:pPr>
      <w:autoSpaceDE w:val="0"/>
      <w:autoSpaceDN w:val="0"/>
      <w:adjustRightInd w:val="0"/>
    </w:pPr>
    <w:rPr>
      <w:rFonts w:cs="Calibri"/>
      <w:color w:val="000000"/>
      <w:sz w:val="24"/>
      <w:szCs w:val="24"/>
      <w:lang w:eastAsia="en-US"/>
    </w:rPr>
  </w:style>
  <w:style w:type="character" w:styleId="Emphasis">
    <w:name w:val="Emphasis"/>
    <w:uiPriority w:val="20"/>
    <w:qFormat/>
    <w:rsid w:val="00400009"/>
    <w:rPr>
      <w:i/>
      <w:iCs/>
    </w:rPr>
  </w:style>
  <w:style w:type="paragraph" w:styleId="NormalWeb">
    <w:name w:val="Normal (Web)"/>
    <w:basedOn w:val="Normal"/>
    <w:uiPriority w:val="99"/>
    <w:unhideWhenUsed/>
    <w:rsid w:val="00697D72"/>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oggle">
    <w:name w:val="toggle"/>
    <w:basedOn w:val="DefaultParagraphFont"/>
    <w:rsid w:val="001C7E67"/>
  </w:style>
  <w:style w:type="table" w:styleId="LightGrid-Accent1">
    <w:name w:val="Light Grid Accent 1"/>
    <w:basedOn w:val="TableNormal"/>
    <w:uiPriority w:val="62"/>
    <w:rsid w:val="00690A85"/>
    <w:rPr>
      <w:rFonts w:asciiTheme="minorHAnsi" w:eastAsiaTheme="minorEastAsia"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r="http://schemas.openxmlformats.org/officeDocument/2006/relationships" xmlns:w="http://schemas.openxmlformats.org/wordprocessingml/2006/main">
  <w:divs>
    <w:div w:id="53282450">
      <w:bodyDiv w:val="1"/>
      <w:marLeft w:val="0"/>
      <w:marRight w:val="0"/>
      <w:marTop w:val="0"/>
      <w:marBottom w:val="0"/>
      <w:divBdr>
        <w:top w:val="none" w:sz="0" w:space="0" w:color="auto"/>
        <w:left w:val="none" w:sz="0" w:space="0" w:color="auto"/>
        <w:bottom w:val="none" w:sz="0" w:space="0" w:color="auto"/>
        <w:right w:val="none" w:sz="0" w:space="0" w:color="auto"/>
      </w:divBdr>
    </w:div>
    <w:div w:id="631059521">
      <w:bodyDiv w:val="1"/>
      <w:marLeft w:val="0"/>
      <w:marRight w:val="0"/>
      <w:marTop w:val="0"/>
      <w:marBottom w:val="0"/>
      <w:divBdr>
        <w:top w:val="none" w:sz="0" w:space="0" w:color="auto"/>
        <w:left w:val="none" w:sz="0" w:space="0" w:color="auto"/>
        <w:bottom w:val="none" w:sz="0" w:space="0" w:color="auto"/>
        <w:right w:val="none" w:sz="0" w:space="0" w:color="auto"/>
      </w:divBdr>
    </w:div>
    <w:div w:id="775904305">
      <w:bodyDiv w:val="1"/>
      <w:marLeft w:val="0"/>
      <w:marRight w:val="0"/>
      <w:marTop w:val="0"/>
      <w:marBottom w:val="0"/>
      <w:divBdr>
        <w:top w:val="none" w:sz="0" w:space="0" w:color="auto"/>
        <w:left w:val="none" w:sz="0" w:space="0" w:color="auto"/>
        <w:bottom w:val="none" w:sz="0" w:space="0" w:color="auto"/>
        <w:right w:val="none" w:sz="0" w:space="0" w:color="auto"/>
      </w:divBdr>
    </w:div>
    <w:div w:id="805007393">
      <w:bodyDiv w:val="1"/>
      <w:marLeft w:val="0"/>
      <w:marRight w:val="0"/>
      <w:marTop w:val="0"/>
      <w:marBottom w:val="0"/>
      <w:divBdr>
        <w:top w:val="none" w:sz="0" w:space="0" w:color="auto"/>
        <w:left w:val="none" w:sz="0" w:space="0" w:color="auto"/>
        <w:bottom w:val="none" w:sz="0" w:space="0" w:color="auto"/>
        <w:right w:val="none" w:sz="0" w:space="0" w:color="auto"/>
      </w:divBdr>
    </w:div>
    <w:div w:id="898517475">
      <w:bodyDiv w:val="1"/>
      <w:marLeft w:val="0"/>
      <w:marRight w:val="0"/>
      <w:marTop w:val="0"/>
      <w:marBottom w:val="0"/>
      <w:divBdr>
        <w:top w:val="none" w:sz="0" w:space="0" w:color="auto"/>
        <w:left w:val="none" w:sz="0" w:space="0" w:color="auto"/>
        <w:bottom w:val="none" w:sz="0" w:space="0" w:color="auto"/>
        <w:right w:val="none" w:sz="0" w:space="0" w:color="auto"/>
      </w:divBdr>
    </w:div>
    <w:div w:id="1065638948">
      <w:bodyDiv w:val="1"/>
      <w:marLeft w:val="0"/>
      <w:marRight w:val="0"/>
      <w:marTop w:val="0"/>
      <w:marBottom w:val="0"/>
      <w:divBdr>
        <w:top w:val="none" w:sz="0" w:space="0" w:color="auto"/>
        <w:left w:val="none" w:sz="0" w:space="0" w:color="auto"/>
        <w:bottom w:val="none" w:sz="0" w:space="0" w:color="auto"/>
        <w:right w:val="none" w:sz="0" w:space="0" w:color="auto"/>
      </w:divBdr>
    </w:div>
    <w:div w:id="1175995685">
      <w:bodyDiv w:val="1"/>
      <w:marLeft w:val="0"/>
      <w:marRight w:val="0"/>
      <w:marTop w:val="0"/>
      <w:marBottom w:val="0"/>
      <w:divBdr>
        <w:top w:val="none" w:sz="0" w:space="0" w:color="auto"/>
        <w:left w:val="none" w:sz="0" w:space="0" w:color="auto"/>
        <w:bottom w:val="none" w:sz="0" w:space="0" w:color="auto"/>
        <w:right w:val="none" w:sz="0" w:space="0" w:color="auto"/>
      </w:divBdr>
    </w:div>
    <w:div w:id="1372420559">
      <w:bodyDiv w:val="1"/>
      <w:marLeft w:val="0"/>
      <w:marRight w:val="0"/>
      <w:marTop w:val="0"/>
      <w:marBottom w:val="0"/>
      <w:divBdr>
        <w:top w:val="none" w:sz="0" w:space="0" w:color="auto"/>
        <w:left w:val="none" w:sz="0" w:space="0" w:color="auto"/>
        <w:bottom w:val="none" w:sz="0" w:space="0" w:color="auto"/>
        <w:right w:val="none" w:sz="0" w:space="0" w:color="auto"/>
      </w:divBdr>
    </w:div>
    <w:div w:id="198635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fsbc.gob.mx/ArchivosInternet%5C0246270347-363PODER%20LEGISLATIVO%202009.pdf"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411F9-24AF-4C99-A343-51346FAAC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991</TotalTime>
  <Pages>1</Pages>
  <Words>2683</Words>
  <Characters>14762</Characters>
  <Application>Microsoft Office Word</Application>
  <DocSecurity>0</DocSecurity>
  <Lines>123</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17411</CharactersWithSpaces>
  <SharedDoc>false</SharedDoc>
  <HLinks>
    <vt:vector size="24" baseType="variant">
      <vt:variant>
        <vt:i4>2818084</vt:i4>
      </vt:variant>
      <vt:variant>
        <vt:i4>6</vt:i4>
      </vt:variant>
      <vt:variant>
        <vt:i4>0</vt:i4>
      </vt:variant>
      <vt:variant>
        <vt:i4>5</vt:i4>
      </vt:variant>
      <vt:variant>
        <vt:lpwstr>http://www.iepcbc.org.mx/transparencia/solicitudes/4T-2011.pdf</vt:lpwstr>
      </vt:variant>
      <vt:variant>
        <vt:lpwstr/>
      </vt:variant>
      <vt:variant>
        <vt:i4>7602280</vt:i4>
      </vt:variant>
      <vt:variant>
        <vt:i4>3</vt:i4>
      </vt:variant>
      <vt:variant>
        <vt:i4>0</vt:i4>
      </vt:variant>
      <vt:variant>
        <vt:i4>5</vt:i4>
      </vt:variant>
      <vt:variant>
        <vt:lpwstr>http://www.iepcbc.org.mx/solicitudes2012-3.php</vt:lpwstr>
      </vt:variant>
      <vt:variant>
        <vt:lpwstr/>
      </vt:variant>
      <vt:variant>
        <vt:i4>3801120</vt:i4>
      </vt:variant>
      <vt:variant>
        <vt:i4>0</vt:i4>
      </vt:variant>
      <vt:variant>
        <vt:i4>0</vt:i4>
      </vt:variant>
      <vt:variant>
        <vt:i4>5</vt:i4>
      </vt:variant>
      <vt:variant>
        <vt:lpwstr>http://www.iepcbc.org.mx/transparencia.php</vt:lpwstr>
      </vt:variant>
      <vt:variant>
        <vt:lpwstr/>
      </vt:variant>
      <vt:variant>
        <vt:i4>7995429</vt:i4>
      </vt:variant>
      <vt:variant>
        <vt:i4>0</vt:i4>
      </vt:variant>
      <vt:variant>
        <vt:i4>0</vt:i4>
      </vt:variant>
      <vt:variant>
        <vt:i4>5</vt:i4>
      </vt:variant>
      <vt:variant>
        <vt:lpwstr>http://www.itaipbc.org.mx/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Auxiliar Evaluacin</cp:lastModifiedBy>
  <cp:revision>252</cp:revision>
  <cp:lastPrinted>2014-09-01T22:44:00Z</cp:lastPrinted>
  <dcterms:created xsi:type="dcterms:W3CDTF">2014-04-22T21:10:00Z</dcterms:created>
  <dcterms:modified xsi:type="dcterms:W3CDTF">2014-09-01T22:51:00Z</dcterms:modified>
</cp:coreProperties>
</file>