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92" w:rsidRPr="0049787B" w:rsidRDefault="00D00155" w:rsidP="00440A82">
      <w:pPr>
        <w:jc w:val="center"/>
        <w:rPr>
          <w:rFonts w:asciiTheme="minorHAnsi" w:hAnsiTheme="minorHAnsi" w:cstheme="minorHAnsi"/>
          <w:b/>
        </w:rPr>
      </w:pPr>
      <w:r w:rsidRPr="0049787B">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904792" w:rsidRPr="0049787B" w:rsidRDefault="00904792" w:rsidP="00111E31">
      <w:pPr>
        <w:jc w:val="center"/>
        <w:rPr>
          <w:rFonts w:asciiTheme="minorHAnsi" w:hAnsiTheme="minorHAnsi" w:cstheme="minorHAnsi"/>
          <w:b/>
          <w:szCs w:val="20"/>
        </w:rPr>
      </w:pPr>
      <w:r w:rsidRPr="0049787B">
        <w:rPr>
          <w:rFonts w:asciiTheme="minorHAnsi" w:hAnsiTheme="minorHAnsi" w:cstheme="minorHAnsi"/>
          <w:b/>
          <w:szCs w:val="20"/>
        </w:rPr>
        <w:t>ORGANO DE FISCALIZACION SUPERIOR DEL ESTADO DE BAJA CALIFORNIA</w:t>
      </w:r>
    </w:p>
    <w:p w:rsidR="00D00155" w:rsidRPr="0049787B" w:rsidRDefault="009D2875" w:rsidP="00111E31">
      <w:pPr>
        <w:tabs>
          <w:tab w:val="left" w:pos="2190"/>
          <w:tab w:val="center" w:pos="4606"/>
        </w:tabs>
        <w:jc w:val="center"/>
        <w:rPr>
          <w:rFonts w:asciiTheme="minorHAnsi" w:hAnsiTheme="minorHAnsi" w:cstheme="minorHAnsi"/>
          <w:b/>
          <w:szCs w:val="20"/>
        </w:rPr>
      </w:pPr>
      <w:r w:rsidRPr="0049787B">
        <w:rPr>
          <w:rFonts w:asciiTheme="minorHAnsi" w:hAnsiTheme="minorHAnsi" w:cstheme="minorHAnsi"/>
          <w:b/>
          <w:szCs w:val="20"/>
        </w:rPr>
        <w:t>2do</w:t>
      </w:r>
      <w:r w:rsidR="00D00155" w:rsidRPr="0049787B">
        <w:rPr>
          <w:rFonts w:asciiTheme="minorHAnsi" w:hAnsiTheme="minorHAnsi" w:cstheme="minorHAnsi"/>
          <w:b/>
          <w:szCs w:val="20"/>
        </w:rPr>
        <w:t>. Trimestre 2014</w:t>
      </w:r>
    </w:p>
    <w:p w:rsidR="00D00155" w:rsidRPr="0049787B" w:rsidRDefault="00D00155" w:rsidP="00A11502">
      <w:pPr>
        <w:pStyle w:val="Sinespaciado"/>
        <w:jc w:val="both"/>
        <w:rPr>
          <w:rFonts w:asciiTheme="minorHAnsi" w:hAnsiTheme="minorHAnsi"/>
          <w:b/>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Artículo 11.- Los sujetos obligados deberán, de oficio, poner a disposición del público, la siguiente información:</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I.- Sus facultades y los indicadores de gestión utilizados para evaluar su desempeño, metas y objetivos de sus programas operativos;</w:t>
      </w:r>
    </w:p>
    <w:p w:rsidR="00BA15E0" w:rsidRPr="0049787B" w:rsidRDefault="00F16269" w:rsidP="00A11502">
      <w:pPr>
        <w:pStyle w:val="Prrafodelista"/>
        <w:numPr>
          <w:ilvl w:val="0"/>
          <w:numId w:val="1"/>
        </w:numPr>
        <w:jc w:val="both"/>
        <w:rPr>
          <w:rFonts w:asciiTheme="minorHAnsi" w:hAnsiTheme="minorHAnsi" w:cstheme="minorHAnsi"/>
          <w:b/>
        </w:rPr>
      </w:pPr>
      <w:r w:rsidRPr="0049787B">
        <w:rPr>
          <w:rFonts w:asciiTheme="minorHAnsi" w:hAnsiTheme="minorHAnsi" w:cstheme="minorHAnsi"/>
        </w:rPr>
        <w:t>Se recomienda publicar información concerniente a las facultades de todas las áreas que se describan en la fracción siguiente y que s</w:t>
      </w:r>
      <w:r w:rsidR="00AA00BD" w:rsidRPr="0049787B">
        <w:rPr>
          <w:rFonts w:asciiTheme="minorHAnsi" w:hAnsiTheme="minorHAnsi" w:cstheme="minorHAnsi"/>
        </w:rPr>
        <w:t>e</w:t>
      </w:r>
      <w:r w:rsidRPr="0049787B">
        <w:rPr>
          <w:rFonts w:asciiTheme="minorHAnsi" w:hAnsiTheme="minorHAnsi" w:cstheme="minorHAnsi"/>
        </w:rPr>
        <w:t xml:space="preserve"> encuentran contempladas en el  Reglamento Interior del Órgano de Fiscalización Superior del Estado de Baja California, en el cual se puede identificar las atribuciones de las diferentes áreas que lo conforman. </w:t>
      </w:r>
      <w:r w:rsidR="00294504" w:rsidRPr="0049787B">
        <w:rPr>
          <w:rFonts w:asciiTheme="minorHAnsi" w:hAnsiTheme="minorHAnsi" w:cstheme="minorHAnsi"/>
          <w:b/>
        </w:rPr>
        <w:t>NO ATENDIDA</w:t>
      </w:r>
    </w:p>
    <w:p w:rsidR="00F16269" w:rsidRPr="0049787B" w:rsidRDefault="00F16269" w:rsidP="00A11502">
      <w:pPr>
        <w:pStyle w:val="Prrafodelista"/>
        <w:numPr>
          <w:ilvl w:val="0"/>
          <w:numId w:val="1"/>
        </w:numPr>
        <w:jc w:val="both"/>
        <w:rPr>
          <w:rFonts w:asciiTheme="minorHAnsi" w:hAnsiTheme="minorHAnsi" w:cstheme="minorHAnsi"/>
          <w:b/>
        </w:rPr>
      </w:pPr>
      <w:r w:rsidRPr="0049787B">
        <w:rPr>
          <w:rFonts w:asciiTheme="minorHAnsi" w:hAnsiTheme="minorHAnsi" w:cstheme="minorHAnsi"/>
        </w:rPr>
        <w:t xml:space="preserve">Se </w:t>
      </w:r>
      <w:r w:rsidR="00BA15E0" w:rsidRPr="0049787B">
        <w:rPr>
          <w:rFonts w:asciiTheme="minorHAnsi" w:hAnsiTheme="minorHAnsi" w:cstheme="minorHAnsi"/>
        </w:rPr>
        <w:t xml:space="preserve">recomienda </w:t>
      </w:r>
      <w:r w:rsidRPr="0049787B">
        <w:rPr>
          <w:rFonts w:asciiTheme="minorHAnsi" w:hAnsiTheme="minorHAnsi" w:cstheme="minorHAnsi"/>
        </w:rPr>
        <w:t>incluir información respecto al avance de la medición de los indicadores implementados durante el presente ejercicio de acuerdo a la calendarización registrada en cada uno de ellos. De Igual forma se recomienda incluir los resultados obtenidos en la medición de los indicadores del ejercicio 201</w:t>
      </w:r>
      <w:r w:rsidR="00BA15E0" w:rsidRPr="0049787B">
        <w:rPr>
          <w:rFonts w:asciiTheme="minorHAnsi" w:hAnsiTheme="minorHAnsi" w:cstheme="minorHAnsi"/>
        </w:rPr>
        <w:t>3.</w:t>
      </w:r>
      <w:r w:rsidR="00C93D75" w:rsidRPr="0049787B">
        <w:rPr>
          <w:rFonts w:asciiTheme="minorHAnsi" w:hAnsiTheme="minorHAnsi" w:cstheme="minorHAnsi"/>
          <w:b/>
        </w:rPr>
        <w:t xml:space="preserve"> NO ATENDIDA</w:t>
      </w:r>
    </w:p>
    <w:p w:rsidR="00904792" w:rsidRPr="0049787B" w:rsidRDefault="005B53FC" w:rsidP="00A11502">
      <w:pPr>
        <w:pStyle w:val="Prrafodelista"/>
        <w:numPr>
          <w:ilvl w:val="0"/>
          <w:numId w:val="1"/>
        </w:numPr>
        <w:jc w:val="both"/>
        <w:rPr>
          <w:rFonts w:asciiTheme="minorHAnsi" w:hAnsiTheme="minorHAnsi" w:cstheme="minorHAnsi"/>
        </w:rPr>
      </w:pPr>
      <w:r w:rsidRPr="0049787B">
        <w:rPr>
          <w:rFonts w:asciiTheme="minorHAnsi" w:hAnsiTheme="minorHAnsi" w:cstheme="minorHAnsi"/>
        </w:rPr>
        <w:t>Con respecto al programa operativo anual se recomienda</w:t>
      </w:r>
      <w:r w:rsidR="00F30276" w:rsidRPr="0049787B">
        <w:rPr>
          <w:rFonts w:asciiTheme="minorHAnsi" w:hAnsiTheme="minorHAnsi" w:cstheme="minorHAnsi"/>
        </w:rPr>
        <w:t xml:space="preserve"> </w:t>
      </w:r>
      <w:r w:rsidR="00FF25FC" w:rsidRPr="0049787B">
        <w:rPr>
          <w:rFonts w:asciiTheme="minorHAnsi" w:hAnsiTheme="minorHAnsi" w:cstheme="minorHAnsi"/>
        </w:rPr>
        <w:t>publicar los</w:t>
      </w:r>
      <w:r w:rsidR="00F30276" w:rsidRPr="0049787B">
        <w:rPr>
          <w:rFonts w:asciiTheme="minorHAnsi" w:hAnsiTheme="minorHAnsi" w:cstheme="minorHAnsi"/>
        </w:rPr>
        <w:t xml:space="preserve"> </w:t>
      </w:r>
      <w:r w:rsidRPr="0049787B">
        <w:rPr>
          <w:rFonts w:asciiTheme="minorHAnsi" w:hAnsiTheme="minorHAnsi" w:cstheme="minorHAnsi"/>
        </w:rPr>
        <w:t xml:space="preserve">resultados </w:t>
      </w:r>
      <w:r w:rsidR="00F30276" w:rsidRPr="0049787B">
        <w:rPr>
          <w:rFonts w:asciiTheme="minorHAnsi" w:hAnsiTheme="minorHAnsi" w:cstheme="minorHAnsi"/>
        </w:rPr>
        <w:t xml:space="preserve"> del </w:t>
      </w:r>
      <w:r w:rsidRPr="0049787B">
        <w:rPr>
          <w:rFonts w:asciiTheme="minorHAnsi" w:hAnsiTheme="minorHAnsi" w:cstheme="minorHAnsi"/>
        </w:rPr>
        <w:t>ejercicio inmediato  anterior, así como</w:t>
      </w:r>
      <w:r w:rsidR="00904792" w:rsidRPr="0049787B">
        <w:rPr>
          <w:rFonts w:asciiTheme="minorHAnsi" w:hAnsiTheme="minorHAnsi" w:cstheme="minorHAnsi"/>
        </w:rPr>
        <w:t xml:space="preserve"> los avances del año en curso</w:t>
      </w:r>
      <w:r w:rsidRPr="0049787B">
        <w:rPr>
          <w:rFonts w:asciiTheme="minorHAnsi" w:hAnsiTheme="minorHAnsi" w:cstheme="minorHAnsi"/>
        </w:rPr>
        <w:t>.</w:t>
      </w:r>
      <w:r w:rsidR="001205C3" w:rsidRPr="0049787B">
        <w:rPr>
          <w:rFonts w:asciiTheme="minorHAnsi" w:hAnsiTheme="minorHAnsi" w:cstheme="minorHAnsi"/>
          <w:b/>
        </w:rPr>
        <w:t xml:space="preserve"> ATENDIDA</w:t>
      </w:r>
    </w:p>
    <w:p w:rsidR="00904792" w:rsidRPr="0049787B" w:rsidRDefault="00904792" w:rsidP="00A11502">
      <w:pPr>
        <w:pStyle w:val="Prrafodelista"/>
        <w:numPr>
          <w:ilvl w:val="0"/>
          <w:numId w:val="1"/>
        </w:numPr>
        <w:jc w:val="both"/>
        <w:rPr>
          <w:rFonts w:asciiTheme="minorHAnsi" w:hAnsiTheme="minorHAnsi" w:cstheme="minorHAnsi"/>
          <w:szCs w:val="20"/>
        </w:rPr>
      </w:pPr>
      <w:r w:rsidRPr="0049787B">
        <w:rPr>
          <w:rFonts w:asciiTheme="minorHAnsi" w:hAnsiTheme="minorHAnsi" w:cstheme="minorHAnsi"/>
          <w:szCs w:val="20"/>
        </w:rPr>
        <w:t>Se recomienda actualizar la fracción de acuerdo al plazo señalado en la fracción I del artículo 12 de la Ley de Transparencia y Acceso a la Información Pública para el Estado de Baja California.</w:t>
      </w:r>
      <w:r w:rsidR="001205C3" w:rsidRPr="0049787B">
        <w:rPr>
          <w:rFonts w:asciiTheme="minorHAnsi" w:hAnsiTheme="minorHAnsi" w:cstheme="minorHAnsi"/>
          <w:b/>
        </w:rPr>
        <w:t xml:space="preserve"> </w:t>
      </w:r>
      <w:r w:rsidR="006243E0" w:rsidRPr="0049787B">
        <w:rPr>
          <w:rFonts w:asciiTheme="minorHAnsi" w:hAnsiTheme="minorHAnsi" w:cstheme="minorHAnsi"/>
          <w:b/>
        </w:rPr>
        <w:t xml:space="preserve">NO </w:t>
      </w:r>
      <w:r w:rsidR="001205C3" w:rsidRPr="0049787B">
        <w:rPr>
          <w:rFonts w:asciiTheme="minorHAnsi" w:hAnsiTheme="minorHAnsi" w:cstheme="minorHAnsi"/>
          <w:b/>
        </w:rPr>
        <w:t>ATENDIDA</w:t>
      </w:r>
    </w:p>
    <w:p w:rsidR="00F86C6F" w:rsidRPr="0049787B" w:rsidRDefault="00F86C6F" w:rsidP="00A11502">
      <w:pPr>
        <w:jc w:val="both"/>
        <w:rPr>
          <w:rFonts w:asciiTheme="minorHAnsi" w:hAnsiTheme="minorHAnsi" w:cstheme="minorHAnsi"/>
          <w:szCs w:val="20"/>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II.- Su estructura orgánica;</w:t>
      </w:r>
    </w:p>
    <w:p w:rsidR="005B53FC" w:rsidRPr="0049787B" w:rsidRDefault="005B53FC" w:rsidP="00A11502">
      <w:pPr>
        <w:ind w:left="708"/>
        <w:jc w:val="both"/>
      </w:pPr>
      <w:r w:rsidRPr="0049787B">
        <w:rPr>
          <w:rFonts w:asciiTheme="minorHAnsi" w:hAnsiTheme="minorHAnsi" w:cstheme="minorHAnsi"/>
        </w:rPr>
        <w:t>No se emiten recomendaciones respecto a esta fracción</w:t>
      </w:r>
      <w:r w:rsidRPr="0049787B">
        <w:t>.</w:t>
      </w:r>
    </w:p>
    <w:p w:rsidR="00F86C6F" w:rsidRPr="0049787B" w:rsidRDefault="00F86C6F" w:rsidP="00A11502">
      <w:pPr>
        <w:ind w:left="708"/>
        <w:jc w:val="both"/>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III.- La información curricular de los servidores públicos, desde el nivel de jefe de departamento o sus equivalentes hasta el nivel del funcionario de mayor jerarquía;</w:t>
      </w:r>
    </w:p>
    <w:p w:rsidR="00F86C6F" w:rsidRPr="0049787B" w:rsidRDefault="00F86C6F" w:rsidP="00A11502">
      <w:pPr>
        <w:jc w:val="both"/>
        <w:rPr>
          <w:rFonts w:asciiTheme="minorHAnsi" w:hAnsiTheme="minorHAnsi" w:cstheme="minorHAnsi"/>
          <w:sz w:val="18"/>
        </w:rPr>
      </w:pPr>
      <w:r w:rsidRPr="0049787B">
        <w:rPr>
          <w:rFonts w:asciiTheme="minorHAnsi" w:hAnsiTheme="minorHAnsi" w:cstheme="minorHAnsi"/>
          <w:b/>
          <w:sz w:val="18"/>
        </w:rPr>
        <w:t>NOTA</w:t>
      </w:r>
      <w:r w:rsidRPr="0049787B">
        <w:rPr>
          <w:rFonts w:asciiTheme="minorHAnsi" w:hAnsiTheme="minorHAnsi" w:cstheme="minorHAnsi"/>
          <w:sz w:val="18"/>
        </w:rPr>
        <w:t xml:space="preserve">: con base en la </w:t>
      </w:r>
      <w:r w:rsidRPr="0049787B">
        <w:rPr>
          <w:rFonts w:asciiTheme="minorHAnsi" w:hAnsiTheme="minorHAnsi" w:cstheme="minorHAnsi"/>
          <w:i/>
          <w:sz w:val="18"/>
        </w:rPr>
        <w:t>Guía Referencial rumbo a la Métrica Nacional para la Interpretación y Evaluación de la Información Pública de Oficio.</w:t>
      </w:r>
    </w:p>
    <w:p w:rsidR="005B53FC" w:rsidRPr="0049787B" w:rsidRDefault="005B53FC" w:rsidP="00A11502">
      <w:pPr>
        <w:ind w:left="708"/>
        <w:jc w:val="both"/>
      </w:pPr>
      <w:r w:rsidRPr="0049787B">
        <w:rPr>
          <w:rFonts w:asciiTheme="minorHAnsi" w:hAnsiTheme="minorHAnsi" w:cstheme="minorHAnsi"/>
        </w:rPr>
        <w:lastRenderedPageBreak/>
        <w:t>No se emiten recomendaciones respecto a esta fracción</w:t>
      </w:r>
      <w:r w:rsidRPr="0049787B">
        <w:t>.</w:t>
      </w:r>
    </w:p>
    <w:p w:rsidR="00F86C6F" w:rsidRPr="0049787B" w:rsidRDefault="00F86C6F" w:rsidP="00A11502">
      <w:pPr>
        <w:ind w:left="708"/>
        <w:jc w:val="both"/>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IV.- Los servicios que ofrecen, los trámites, requisitos y formatos y, en su caso, el monto de los derechos para acceder a los mismos;</w:t>
      </w:r>
    </w:p>
    <w:p w:rsidR="00E3510C" w:rsidRPr="0049787B" w:rsidRDefault="00E3510C" w:rsidP="00A11502">
      <w:pPr>
        <w:jc w:val="both"/>
      </w:pPr>
      <w:r w:rsidRPr="0049787B">
        <w:t xml:space="preserve">Se recomienda publicar adicionalmente en el listado de servicios los </w:t>
      </w:r>
      <w:r w:rsidR="000B4B11" w:rsidRPr="0049787B">
        <w:t>siguientes</w:t>
      </w:r>
      <w:r w:rsidRPr="0049787B">
        <w:t xml:space="preserve"> datos:</w:t>
      </w:r>
    </w:p>
    <w:p w:rsidR="00E3510C" w:rsidRPr="0049787B" w:rsidRDefault="00EC31C4" w:rsidP="00A11502">
      <w:pPr>
        <w:pStyle w:val="Prrafodelista"/>
        <w:numPr>
          <w:ilvl w:val="0"/>
          <w:numId w:val="43"/>
        </w:numPr>
        <w:jc w:val="both"/>
      </w:pPr>
      <w:r w:rsidRPr="0049787B">
        <w:t>El nombre de la unidad administrativa ante la que se realizan,</w:t>
      </w:r>
      <w:r w:rsidR="007672A6" w:rsidRPr="0049787B">
        <w:rPr>
          <w:rFonts w:asciiTheme="minorHAnsi" w:hAnsiTheme="minorHAnsi" w:cstheme="minorHAnsi"/>
          <w:b/>
        </w:rPr>
        <w:t xml:space="preserve"> NO ATENDIDA</w:t>
      </w:r>
    </w:p>
    <w:p w:rsidR="00E3510C" w:rsidRPr="0049787B" w:rsidRDefault="00EC31C4" w:rsidP="00A11502">
      <w:pPr>
        <w:pStyle w:val="Prrafodelista"/>
        <w:numPr>
          <w:ilvl w:val="0"/>
          <w:numId w:val="43"/>
        </w:numPr>
        <w:jc w:val="both"/>
      </w:pPr>
      <w:r w:rsidRPr="0049787B">
        <w:t xml:space="preserve">Los horarios,  y </w:t>
      </w:r>
      <w:r w:rsidR="007672A6" w:rsidRPr="0049787B">
        <w:rPr>
          <w:rFonts w:asciiTheme="minorHAnsi" w:hAnsiTheme="minorHAnsi" w:cstheme="minorHAnsi"/>
          <w:b/>
        </w:rPr>
        <w:t>NO ATENDIDA</w:t>
      </w:r>
    </w:p>
    <w:p w:rsidR="00E3510C" w:rsidRPr="0049787B" w:rsidRDefault="00EC31C4" w:rsidP="00A11502">
      <w:pPr>
        <w:pStyle w:val="Prrafodelista"/>
        <w:numPr>
          <w:ilvl w:val="0"/>
          <w:numId w:val="43"/>
        </w:numPr>
        <w:jc w:val="both"/>
        <w:rPr>
          <w:rFonts w:asciiTheme="minorHAnsi" w:hAnsiTheme="minorHAnsi" w:cstheme="minorHAnsi"/>
          <w:b/>
        </w:rPr>
      </w:pPr>
      <w:r w:rsidRPr="0049787B">
        <w:t>La ubicación d</w:t>
      </w:r>
      <w:r w:rsidR="00E3510C" w:rsidRPr="0049787B">
        <w:t>e los sitios de atención al público</w:t>
      </w:r>
      <w:r w:rsidR="00E3510C" w:rsidRPr="0049787B">
        <w:rPr>
          <w:rFonts w:asciiTheme="minorHAnsi" w:hAnsiTheme="minorHAnsi" w:cstheme="minorHAnsi"/>
          <w:b/>
        </w:rPr>
        <w:t xml:space="preserve"> </w:t>
      </w:r>
      <w:r w:rsidR="007672A6" w:rsidRPr="0049787B">
        <w:rPr>
          <w:rFonts w:asciiTheme="minorHAnsi" w:hAnsiTheme="minorHAnsi" w:cstheme="minorHAnsi"/>
          <w:b/>
        </w:rPr>
        <w:t>NO ATENDIDA</w:t>
      </w:r>
    </w:p>
    <w:p w:rsidR="00E3510C" w:rsidRPr="0049787B" w:rsidRDefault="00E3510C" w:rsidP="00A11502">
      <w:pPr>
        <w:jc w:val="both"/>
        <w:rPr>
          <w:rFonts w:asciiTheme="minorHAnsi" w:hAnsiTheme="minorHAnsi" w:cstheme="minorHAnsi"/>
          <w:b/>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V.- Los informes de acceso a la información, que contengan cuando menos:</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a).- Número de solicitudes de información que les han sido presentadas;</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b).- Objeto de las solicitudes;</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c).- Solicitudes procesadas y respondidas, así como el número de aquellas que se encuentren pendientes; y</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d).- Las solicitudes que hayan sido denegadas y los fundamentos por lo que fueron desechadas.</w:t>
      </w:r>
    </w:p>
    <w:p w:rsidR="00E3510C" w:rsidRPr="0049787B" w:rsidRDefault="00E3510C" w:rsidP="00A11502">
      <w:pPr>
        <w:pStyle w:val="Prrafodelista"/>
        <w:numPr>
          <w:ilvl w:val="0"/>
          <w:numId w:val="4"/>
        </w:numPr>
        <w:jc w:val="both"/>
        <w:rPr>
          <w:rFonts w:asciiTheme="minorHAnsi" w:hAnsiTheme="minorHAnsi" w:cstheme="minorHAnsi"/>
        </w:rPr>
      </w:pPr>
      <w:r w:rsidRPr="0049787B">
        <w:rPr>
          <w:rFonts w:asciiTheme="minorHAnsi" w:hAnsiTheme="minorHAnsi" w:cstheme="minorHAnsi"/>
        </w:rPr>
        <w:t xml:space="preserve">Se recomienda incorporar al informe publicado el objeto de las solicitudes. </w:t>
      </w:r>
      <w:r w:rsidR="00A75403" w:rsidRPr="0049787B">
        <w:rPr>
          <w:rFonts w:asciiTheme="minorHAnsi" w:hAnsiTheme="minorHAnsi" w:cstheme="minorHAnsi"/>
        </w:rPr>
        <w:t xml:space="preserve"> </w:t>
      </w:r>
      <w:r w:rsidR="00A75403" w:rsidRPr="0049787B">
        <w:rPr>
          <w:rFonts w:asciiTheme="minorHAnsi" w:hAnsiTheme="minorHAnsi" w:cstheme="minorHAnsi"/>
          <w:b/>
        </w:rPr>
        <w:t>NO ATENDIDA</w:t>
      </w:r>
    </w:p>
    <w:p w:rsidR="00E3510C" w:rsidRPr="0049787B" w:rsidRDefault="00E3510C" w:rsidP="00A11502">
      <w:pPr>
        <w:jc w:val="both"/>
        <w:rPr>
          <w:rFonts w:asciiTheme="minorHAnsi" w:hAnsiTheme="minorHAnsi" w:cstheme="minorHAnsi"/>
        </w:rPr>
      </w:pPr>
      <w:r w:rsidRPr="0049787B">
        <w:rPr>
          <w:rFonts w:asciiTheme="minorHAnsi" w:hAnsiTheme="minorHAnsi" w:cstheme="minorHAnsi"/>
          <w:b/>
        </w:rPr>
        <w:t>Nota:</w:t>
      </w:r>
      <w:r w:rsidRPr="0049787B">
        <w:rPr>
          <w:rFonts w:asciiTheme="minorHAnsi" w:hAnsiTheme="minorHAnsi" w:cstheme="minorHAnsi"/>
        </w:rPr>
        <w:t xml:space="preserve"> el informe que actualmente se publica corresponde al Informe Anual de Acceso a la Información señalado en el artículo 39 de la LTAIPBC cuyo contenido se indica en el </w:t>
      </w:r>
      <w:r w:rsidR="00E65665" w:rsidRPr="0049787B">
        <w:rPr>
          <w:rFonts w:asciiTheme="minorHAnsi" w:hAnsiTheme="minorHAnsi" w:cstheme="minorHAnsi"/>
        </w:rPr>
        <w:t>artículo</w:t>
      </w:r>
      <w:r w:rsidRPr="0049787B">
        <w:rPr>
          <w:rFonts w:asciiTheme="minorHAnsi" w:hAnsiTheme="minorHAnsi" w:cstheme="minorHAnsi"/>
        </w:rPr>
        <w:t xml:space="preserve"> 55. Los elementos de información </w:t>
      </w:r>
      <w:r w:rsidR="00F6706B" w:rsidRPr="0049787B">
        <w:rPr>
          <w:rFonts w:asciiTheme="minorHAnsi" w:hAnsiTheme="minorHAnsi" w:cstheme="minorHAnsi"/>
        </w:rPr>
        <w:t>que se deben publicar</w:t>
      </w:r>
      <w:r w:rsidRPr="0049787B">
        <w:rPr>
          <w:rFonts w:asciiTheme="minorHAnsi" w:hAnsiTheme="minorHAnsi" w:cstheme="minorHAnsi"/>
        </w:rPr>
        <w:t xml:space="preserve"> en esta </w:t>
      </w:r>
      <w:r w:rsidR="000B4B11" w:rsidRPr="0049787B">
        <w:rPr>
          <w:rFonts w:asciiTheme="minorHAnsi" w:hAnsiTheme="minorHAnsi" w:cstheme="minorHAnsi"/>
        </w:rPr>
        <w:t>fracción no</w:t>
      </w:r>
      <w:r w:rsidRPr="0049787B">
        <w:rPr>
          <w:rFonts w:asciiTheme="minorHAnsi" w:hAnsiTheme="minorHAnsi" w:cstheme="minorHAnsi"/>
        </w:rPr>
        <w:t xml:space="preserve"> coinciden </w:t>
      </w:r>
      <w:r w:rsidR="009B4319" w:rsidRPr="0049787B">
        <w:rPr>
          <w:rFonts w:asciiTheme="minorHAnsi" w:hAnsiTheme="minorHAnsi" w:cstheme="minorHAnsi"/>
        </w:rPr>
        <w:t xml:space="preserve">con los requerimientos del informe anual. </w:t>
      </w:r>
    </w:p>
    <w:p w:rsidR="00F86C6F" w:rsidRPr="0049787B" w:rsidRDefault="00F86C6F" w:rsidP="00A11502">
      <w:pPr>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F49AC" w:rsidRPr="0049787B" w:rsidRDefault="00FF49AC" w:rsidP="00111E31">
      <w:pPr>
        <w:jc w:val="both"/>
      </w:pPr>
      <w:r w:rsidRPr="0049787B">
        <w:rPr>
          <w:rFonts w:asciiTheme="minorHAnsi" w:hAnsiTheme="minorHAnsi" w:cstheme="minorHAnsi"/>
        </w:rPr>
        <w:t>No se emiten recomendaciones respecto a esta fracción</w:t>
      </w:r>
      <w:r w:rsidRPr="0049787B">
        <w:t>.</w:t>
      </w:r>
    </w:p>
    <w:p w:rsidR="00FF49AC" w:rsidRPr="0049787B" w:rsidRDefault="00FF49AC" w:rsidP="00A11502">
      <w:pPr>
        <w:jc w:val="both"/>
        <w:rPr>
          <w:rFonts w:asciiTheme="minorHAnsi" w:hAnsiTheme="minorHAnsi" w:cstheme="minorHAnsi"/>
          <w:b/>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lastRenderedPageBreak/>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557F4" w:rsidRPr="0049787B" w:rsidRDefault="00F30276" w:rsidP="00111E31">
      <w:pPr>
        <w:jc w:val="both"/>
        <w:rPr>
          <w:rFonts w:asciiTheme="minorHAnsi" w:hAnsiTheme="minorHAnsi" w:cstheme="minorHAnsi"/>
        </w:rPr>
      </w:pPr>
      <w:r w:rsidRPr="0049787B">
        <w:rPr>
          <w:rFonts w:asciiTheme="minorHAnsi" w:hAnsiTheme="minorHAnsi" w:cstheme="minorHAnsi"/>
        </w:rPr>
        <w:t xml:space="preserve">Se </w:t>
      </w:r>
      <w:r w:rsidR="00A557F4" w:rsidRPr="0049787B">
        <w:rPr>
          <w:rFonts w:asciiTheme="minorHAnsi" w:hAnsiTheme="minorHAnsi" w:cstheme="minorHAnsi"/>
        </w:rPr>
        <w:t>recomienda</w:t>
      </w:r>
      <w:r w:rsidRPr="0049787B">
        <w:rPr>
          <w:rFonts w:asciiTheme="minorHAnsi" w:hAnsiTheme="minorHAnsi" w:cstheme="minorHAnsi"/>
        </w:rPr>
        <w:t xml:space="preserve"> indicar en el listado de la plantilla de </w:t>
      </w:r>
      <w:r w:rsidR="00A557F4" w:rsidRPr="0049787B">
        <w:rPr>
          <w:rFonts w:asciiTheme="minorHAnsi" w:hAnsiTheme="minorHAnsi" w:cstheme="minorHAnsi"/>
        </w:rPr>
        <w:t>personal los siguientes rubros:</w:t>
      </w:r>
      <w:r w:rsidRPr="0049787B">
        <w:rPr>
          <w:rFonts w:asciiTheme="minorHAnsi" w:hAnsiTheme="minorHAnsi" w:cstheme="minorHAnsi"/>
        </w:rPr>
        <w:t xml:space="preserve"> </w:t>
      </w:r>
    </w:p>
    <w:p w:rsidR="00A557F4" w:rsidRPr="0049787B" w:rsidRDefault="00B121A8" w:rsidP="00A11502">
      <w:pPr>
        <w:pStyle w:val="Prrafodelista"/>
        <w:numPr>
          <w:ilvl w:val="0"/>
          <w:numId w:val="13"/>
        </w:numPr>
        <w:jc w:val="both"/>
        <w:rPr>
          <w:rFonts w:asciiTheme="minorHAnsi" w:hAnsiTheme="minorHAnsi" w:cstheme="minorHAnsi"/>
        </w:rPr>
      </w:pPr>
      <w:r w:rsidRPr="0049787B">
        <w:rPr>
          <w:rFonts w:asciiTheme="minorHAnsi" w:hAnsiTheme="minorHAnsi" w:cstheme="minorHAnsi"/>
        </w:rPr>
        <w:t>La ciudad de adscripción</w:t>
      </w:r>
      <w:r w:rsidR="00A41DAC" w:rsidRPr="0049787B">
        <w:rPr>
          <w:rFonts w:asciiTheme="minorHAnsi" w:hAnsiTheme="minorHAnsi" w:cstheme="minorHAnsi"/>
        </w:rPr>
        <w:t>,</w:t>
      </w:r>
      <w:r w:rsidRPr="0049787B">
        <w:rPr>
          <w:rFonts w:asciiTheme="minorHAnsi" w:hAnsiTheme="minorHAnsi" w:cstheme="minorHAnsi"/>
        </w:rPr>
        <w:t xml:space="preserve"> y</w:t>
      </w:r>
      <w:r w:rsidR="00A75403" w:rsidRPr="0049787B">
        <w:rPr>
          <w:rFonts w:asciiTheme="minorHAnsi" w:hAnsiTheme="minorHAnsi" w:cstheme="minorHAnsi"/>
          <w:b/>
        </w:rPr>
        <w:t xml:space="preserve">  ATENDIDA</w:t>
      </w:r>
    </w:p>
    <w:p w:rsidR="00F30276" w:rsidRPr="0049787B" w:rsidRDefault="00B121A8" w:rsidP="00A11502">
      <w:pPr>
        <w:pStyle w:val="Prrafodelista"/>
        <w:numPr>
          <w:ilvl w:val="0"/>
          <w:numId w:val="13"/>
        </w:numPr>
        <w:jc w:val="both"/>
        <w:rPr>
          <w:rFonts w:asciiTheme="minorHAnsi" w:hAnsiTheme="minorHAnsi" w:cstheme="minorHAnsi"/>
        </w:rPr>
      </w:pPr>
      <w:r w:rsidRPr="0049787B">
        <w:rPr>
          <w:rFonts w:asciiTheme="minorHAnsi" w:hAnsiTheme="minorHAnsi" w:cstheme="minorHAnsi"/>
        </w:rPr>
        <w:t>Desg</w:t>
      </w:r>
      <w:r w:rsidR="00323634" w:rsidRPr="0049787B">
        <w:rPr>
          <w:rFonts w:asciiTheme="minorHAnsi" w:hAnsiTheme="minorHAnsi" w:cstheme="minorHAnsi"/>
        </w:rPr>
        <w:t>losar</w:t>
      </w:r>
      <w:r w:rsidR="00F30276" w:rsidRPr="0049787B">
        <w:rPr>
          <w:rFonts w:asciiTheme="minorHAnsi" w:hAnsiTheme="minorHAnsi" w:cstheme="minorHAnsi"/>
        </w:rPr>
        <w:t xml:space="preserve"> cualquier deducción, percepción, prestación y compensación en dinero o en especie que reciban con respecto al ejercicio de sus funciones.</w:t>
      </w:r>
      <w:r w:rsidR="00A75403" w:rsidRPr="0049787B">
        <w:rPr>
          <w:rFonts w:asciiTheme="minorHAnsi" w:hAnsiTheme="minorHAnsi" w:cstheme="minorHAnsi"/>
          <w:b/>
        </w:rPr>
        <w:t xml:space="preserve"> NO ATENDIDA</w:t>
      </w:r>
    </w:p>
    <w:p w:rsidR="00F86C6F" w:rsidRPr="0049787B" w:rsidRDefault="00F86C6F" w:rsidP="00A11502">
      <w:pPr>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 xml:space="preserve">VIII.- Respecto del presupuesto de </w:t>
      </w:r>
      <w:r w:rsidR="000B4B11" w:rsidRPr="0049787B">
        <w:rPr>
          <w:rFonts w:asciiTheme="minorHAnsi" w:hAnsiTheme="minorHAnsi" w:cstheme="minorHAnsi"/>
          <w:b/>
        </w:rPr>
        <w:t>egresos aprobado</w:t>
      </w:r>
      <w:r w:rsidRPr="0049787B">
        <w:rPr>
          <w:rFonts w:asciiTheme="minorHAnsi" w:hAnsiTheme="minorHAnsi" w:cstheme="minorHAnsi"/>
          <w:b/>
        </w:rPr>
        <w:t>, por programas, grupos y partidas de gastos, y los informes sobre su ejecución; así como de la situación financiera y en su caso, respecto a la deuda pública;</w:t>
      </w:r>
    </w:p>
    <w:p w:rsidR="00A13B33" w:rsidRPr="0049787B" w:rsidRDefault="00A13B33" w:rsidP="00A11502">
      <w:pPr>
        <w:pStyle w:val="Prrafodelista"/>
        <w:numPr>
          <w:ilvl w:val="0"/>
          <w:numId w:val="5"/>
        </w:numPr>
        <w:jc w:val="both"/>
        <w:rPr>
          <w:rFonts w:asciiTheme="minorHAnsi" w:hAnsiTheme="minorHAnsi" w:cstheme="minorHAnsi"/>
        </w:rPr>
      </w:pPr>
      <w:r w:rsidRPr="0049787B">
        <w:rPr>
          <w:rFonts w:asciiTheme="minorHAnsi" w:hAnsiTheme="minorHAnsi" w:cstheme="minorHAnsi"/>
        </w:rPr>
        <w:t xml:space="preserve">Con respecto al </w:t>
      </w:r>
      <w:r w:rsidR="00F30276" w:rsidRPr="0049787B">
        <w:rPr>
          <w:rFonts w:asciiTheme="minorHAnsi" w:hAnsiTheme="minorHAnsi" w:cstheme="minorHAnsi"/>
        </w:rPr>
        <w:t>P</w:t>
      </w:r>
      <w:r w:rsidRPr="0049787B">
        <w:rPr>
          <w:rFonts w:asciiTheme="minorHAnsi" w:hAnsiTheme="minorHAnsi" w:cstheme="minorHAnsi"/>
        </w:rPr>
        <w:t xml:space="preserve">resupuesto de Egresos </w:t>
      </w:r>
      <w:r w:rsidR="003A210C" w:rsidRPr="0049787B">
        <w:t>aprobado para el ejercicio fiscal en curso</w:t>
      </w:r>
      <w:r w:rsidR="003A210C" w:rsidRPr="0049787B">
        <w:rPr>
          <w:rFonts w:asciiTheme="minorHAnsi" w:hAnsiTheme="minorHAnsi" w:cstheme="minorHAnsi"/>
        </w:rPr>
        <w:t xml:space="preserve"> </w:t>
      </w:r>
      <w:r w:rsidR="00F30276" w:rsidRPr="0049787B">
        <w:rPr>
          <w:rFonts w:asciiTheme="minorHAnsi" w:hAnsiTheme="minorHAnsi" w:cstheme="minorHAnsi"/>
        </w:rPr>
        <w:t xml:space="preserve">se </w:t>
      </w:r>
      <w:r w:rsidRPr="0049787B">
        <w:rPr>
          <w:rFonts w:asciiTheme="minorHAnsi" w:hAnsiTheme="minorHAnsi" w:cstheme="minorHAnsi"/>
        </w:rPr>
        <w:t>recomienda</w:t>
      </w:r>
      <w:r w:rsidR="00F30276" w:rsidRPr="0049787B">
        <w:rPr>
          <w:rFonts w:asciiTheme="minorHAnsi" w:hAnsiTheme="minorHAnsi" w:cstheme="minorHAnsi"/>
        </w:rPr>
        <w:t xml:space="preserve"> publicar información por programas</w:t>
      </w:r>
      <w:r w:rsidR="003A210C" w:rsidRPr="0049787B">
        <w:rPr>
          <w:rFonts w:asciiTheme="minorHAnsi" w:hAnsiTheme="minorHAnsi" w:cstheme="minorHAnsi"/>
        </w:rPr>
        <w:t>, grupos y partidas de gastos</w:t>
      </w:r>
      <w:r w:rsidR="00F30276" w:rsidRPr="0049787B">
        <w:rPr>
          <w:rFonts w:asciiTheme="minorHAnsi" w:hAnsiTheme="minorHAnsi" w:cstheme="minorHAnsi"/>
        </w:rPr>
        <w:t>.</w:t>
      </w:r>
      <w:r w:rsidR="001A55F9" w:rsidRPr="0049787B">
        <w:rPr>
          <w:rFonts w:asciiTheme="minorHAnsi" w:hAnsiTheme="minorHAnsi" w:cstheme="minorHAnsi"/>
          <w:b/>
        </w:rPr>
        <w:t xml:space="preserve"> NO ATENDIDA</w:t>
      </w:r>
    </w:p>
    <w:p w:rsidR="00A13B33" w:rsidRPr="0049787B" w:rsidRDefault="00A13B33" w:rsidP="00A11502">
      <w:pPr>
        <w:pStyle w:val="Prrafodelista"/>
        <w:numPr>
          <w:ilvl w:val="0"/>
          <w:numId w:val="5"/>
        </w:numPr>
        <w:jc w:val="both"/>
        <w:rPr>
          <w:rFonts w:asciiTheme="minorHAnsi" w:hAnsiTheme="minorHAnsi" w:cstheme="minorHAnsi"/>
        </w:rPr>
      </w:pPr>
      <w:r w:rsidRPr="0049787B">
        <w:rPr>
          <w:rFonts w:asciiTheme="minorHAnsi" w:hAnsiTheme="minorHAnsi" w:cstheme="minorHAnsi"/>
        </w:rPr>
        <w:t xml:space="preserve">Con respecto al </w:t>
      </w:r>
      <w:r w:rsidR="00F30276" w:rsidRPr="0049787B">
        <w:rPr>
          <w:rFonts w:asciiTheme="minorHAnsi" w:hAnsiTheme="minorHAnsi" w:cstheme="minorHAnsi"/>
        </w:rPr>
        <w:t>I</w:t>
      </w:r>
      <w:r w:rsidRPr="0049787B">
        <w:rPr>
          <w:rFonts w:asciiTheme="minorHAnsi" w:hAnsiTheme="minorHAnsi" w:cstheme="minorHAnsi"/>
        </w:rPr>
        <w:t xml:space="preserve">nforme de Ejecución del </w:t>
      </w:r>
      <w:r w:rsidR="00F30276" w:rsidRPr="0049787B">
        <w:rPr>
          <w:rFonts w:asciiTheme="minorHAnsi" w:hAnsiTheme="minorHAnsi" w:cstheme="minorHAnsi"/>
        </w:rPr>
        <w:t>P</w:t>
      </w:r>
      <w:r w:rsidRPr="0049787B">
        <w:rPr>
          <w:rFonts w:asciiTheme="minorHAnsi" w:hAnsiTheme="minorHAnsi" w:cstheme="minorHAnsi"/>
        </w:rPr>
        <w:t>resupuesto</w:t>
      </w:r>
      <w:r w:rsidR="00F86C6F" w:rsidRPr="0049787B">
        <w:rPr>
          <w:rFonts w:asciiTheme="minorHAnsi" w:hAnsiTheme="minorHAnsi" w:cstheme="minorHAnsi"/>
        </w:rPr>
        <w:t xml:space="preserve"> s</w:t>
      </w:r>
      <w:r w:rsidR="00F30276" w:rsidRPr="0049787B">
        <w:rPr>
          <w:rFonts w:asciiTheme="minorHAnsi" w:hAnsiTheme="minorHAnsi" w:cstheme="minorHAnsi"/>
        </w:rPr>
        <w:t xml:space="preserve">e </w:t>
      </w:r>
      <w:r w:rsidRPr="0049787B">
        <w:rPr>
          <w:rFonts w:asciiTheme="minorHAnsi" w:hAnsiTheme="minorHAnsi" w:cstheme="minorHAnsi"/>
        </w:rPr>
        <w:t>recomienda p</w:t>
      </w:r>
      <w:r w:rsidR="00F30276" w:rsidRPr="0049787B">
        <w:rPr>
          <w:rFonts w:asciiTheme="minorHAnsi" w:hAnsiTheme="minorHAnsi" w:cstheme="minorHAnsi"/>
        </w:rPr>
        <w:t>ublica</w:t>
      </w:r>
      <w:r w:rsidRPr="0049787B">
        <w:rPr>
          <w:rFonts w:asciiTheme="minorHAnsi" w:hAnsiTheme="minorHAnsi" w:cstheme="minorHAnsi"/>
        </w:rPr>
        <w:t>r el</w:t>
      </w:r>
      <w:r w:rsidR="00F30276" w:rsidRPr="0049787B">
        <w:rPr>
          <w:rFonts w:asciiTheme="minorHAnsi" w:hAnsiTheme="minorHAnsi" w:cstheme="minorHAnsi"/>
        </w:rPr>
        <w:t xml:space="preserve"> total de los documentos que debe contener el informe de avance de gestión financiera.</w:t>
      </w:r>
      <w:r w:rsidR="001A55F9" w:rsidRPr="0049787B">
        <w:rPr>
          <w:rFonts w:asciiTheme="minorHAnsi" w:hAnsiTheme="minorHAnsi" w:cstheme="minorHAnsi"/>
          <w:b/>
        </w:rPr>
        <w:t xml:space="preserve"> NO ATENDIDA</w:t>
      </w:r>
    </w:p>
    <w:p w:rsidR="00F86C6F" w:rsidRPr="0049787B" w:rsidRDefault="00F86C6F" w:rsidP="00A11502">
      <w:pPr>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IX.- Las enajenaciones de bienes que realicen por cualquier título o acto, indicando los motivos, beneficiarios o adquirientes, y los montos de las operaciones;</w:t>
      </w:r>
    </w:p>
    <w:p w:rsidR="00F16269" w:rsidRPr="0049787B" w:rsidRDefault="00F16269"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5E16BE" w:rsidRPr="0049787B" w:rsidRDefault="005E16BE" w:rsidP="00A11502">
      <w:pPr>
        <w:ind w:firstLine="708"/>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 Los permisos, concesiones y autorizaciones otorgadas, especificando sus titulares, concepto y vigencia;</w:t>
      </w:r>
    </w:p>
    <w:p w:rsidR="00F16269" w:rsidRPr="0049787B" w:rsidRDefault="00F16269"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5E16BE" w:rsidRPr="0049787B" w:rsidRDefault="005E16BE" w:rsidP="00A11502">
      <w:pPr>
        <w:ind w:firstLine="708"/>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XI.- Los convenios celebrados con instituciones públicas o privadas;</w:t>
      </w:r>
    </w:p>
    <w:p w:rsidR="00A557F4" w:rsidRPr="0049787B" w:rsidRDefault="006014B1" w:rsidP="00A11502">
      <w:pPr>
        <w:jc w:val="both"/>
        <w:rPr>
          <w:rFonts w:asciiTheme="minorHAnsi" w:hAnsiTheme="minorHAnsi" w:cstheme="minorHAnsi"/>
        </w:rPr>
      </w:pPr>
      <w:r w:rsidRPr="0049787B">
        <w:rPr>
          <w:rFonts w:asciiTheme="minorHAnsi" w:hAnsiTheme="minorHAnsi" w:cstheme="minorHAnsi"/>
        </w:rPr>
        <w:t xml:space="preserve">Se </w:t>
      </w:r>
      <w:r w:rsidR="00A557F4" w:rsidRPr="0049787B">
        <w:rPr>
          <w:rFonts w:asciiTheme="minorHAnsi" w:hAnsiTheme="minorHAnsi" w:cstheme="minorHAnsi"/>
        </w:rPr>
        <w:t>recomienda</w:t>
      </w:r>
      <w:r w:rsidRPr="0049787B">
        <w:rPr>
          <w:rFonts w:asciiTheme="minorHAnsi" w:hAnsiTheme="minorHAnsi" w:cstheme="minorHAnsi"/>
        </w:rPr>
        <w:t xml:space="preserve"> incorporar al listado publicado los siguientes rubros de información:</w:t>
      </w:r>
    </w:p>
    <w:p w:rsidR="00A557F4" w:rsidRPr="0049787B" w:rsidRDefault="006014B1" w:rsidP="00A11502">
      <w:pPr>
        <w:pStyle w:val="Prrafodelista"/>
        <w:numPr>
          <w:ilvl w:val="0"/>
          <w:numId w:val="32"/>
        </w:numPr>
        <w:jc w:val="both"/>
        <w:rPr>
          <w:rFonts w:asciiTheme="minorHAnsi" w:hAnsiTheme="minorHAnsi" w:cstheme="minorHAnsi"/>
        </w:rPr>
      </w:pPr>
      <w:r w:rsidRPr="0049787B">
        <w:rPr>
          <w:rFonts w:asciiTheme="minorHAnsi" w:hAnsiTheme="minorHAnsi" w:cstheme="minorHAnsi"/>
        </w:rPr>
        <w:t>fecha,</w:t>
      </w:r>
      <w:r w:rsidR="00117AAF" w:rsidRPr="0049787B">
        <w:rPr>
          <w:rFonts w:asciiTheme="minorHAnsi" w:hAnsiTheme="minorHAnsi" w:cstheme="minorHAnsi"/>
          <w:b/>
        </w:rPr>
        <w:t xml:space="preserve"> ATENDIDA</w:t>
      </w:r>
    </w:p>
    <w:p w:rsidR="00A557F4" w:rsidRPr="0049787B" w:rsidRDefault="006014B1" w:rsidP="00A11502">
      <w:pPr>
        <w:pStyle w:val="Prrafodelista"/>
        <w:numPr>
          <w:ilvl w:val="0"/>
          <w:numId w:val="32"/>
        </w:numPr>
        <w:jc w:val="both"/>
        <w:rPr>
          <w:rFonts w:asciiTheme="minorHAnsi" w:hAnsiTheme="minorHAnsi" w:cstheme="minorHAnsi"/>
        </w:rPr>
      </w:pPr>
      <w:r w:rsidRPr="0049787B">
        <w:rPr>
          <w:rFonts w:asciiTheme="minorHAnsi" w:hAnsiTheme="minorHAnsi" w:cstheme="minorHAnsi"/>
        </w:rPr>
        <w:lastRenderedPageBreak/>
        <w:t xml:space="preserve">duración </w:t>
      </w:r>
      <w:r w:rsidR="00117AAF" w:rsidRPr="0049787B">
        <w:rPr>
          <w:rFonts w:asciiTheme="minorHAnsi" w:hAnsiTheme="minorHAnsi" w:cstheme="minorHAnsi"/>
          <w:b/>
        </w:rPr>
        <w:t xml:space="preserve"> ATENDIDA</w:t>
      </w:r>
    </w:p>
    <w:p w:rsidR="006014B1" w:rsidRPr="0049787B" w:rsidRDefault="006014B1" w:rsidP="00A11502">
      <w:pPr>
        <w:pStyle w:val="Prrafodelista"/>
        <w:numPr>
          <w:ilvl w:val="0"/>
          <w:numId w:val="32"/>
        </w:numPr>
        <w:jc w:val="both"/>
        <w:rPr>
          <w:rFonts w:asciiTheme="minorHAnsi" w:hAnsiTheme="minorHAnsi" w:cstheme="minorHAnsi"/>
        </w:rPr>
      </w:pPr>
      <w:r w:rsidRPr="0049787B">
        <w:rPr>
          <w:rFonts w:asciiTheme="minorHAnsi" w:hAnsiTheme="minorHAnsi" w:cstheme="minorHAnsi"/>
        </w:rPr>
        <w:t xml:space="preserve">monto.  </w:t>
      </w:r>
      <w:r w:rsidR="00117AAF" w:rsidRPr="0049787B">
        <w:rPr>
          <w:rFonts w:asciiTheme="minorHAnsi" w:hAnsiTheme="minorHAnsi" w:cstheme="minorHAnsi"/>
          <w:b/>
        </w:rPr>
        <w:t>ATENDIDA</w:t>
      </w:r>
    </w:p>
    <w:p w:rsidR="00F16269" w:rsidRPr="0049787B" w:rsidRDefault="00F16269" w:rsidP="00A11502">
      <w:pPr>
        <w:tabs>
          <w:tab w:val="left" w:pos="3418"/>
        </w:tabs>
        <w:jc w:val="both"/>
        <w:rPr>
          <w:rFonts w:asciiTheme="minorHAnsi" w:hAnsiTheme="minorHAnsi" w:cstheme="minorHAnsi"/>
          <w:b/>
        </w:rPr>
      </w:pPr>
      <w:r w:rsidRPr="0049787B">
        <w:rPr>
          <w:rFonts w:asciiTheme="minorHAnsi" w:hAnsiTheme="minorHAnsi" w:cstheme="minorHAnsi"/>
          <w:b/>
        </w:rPr>
        <w:t>XII.- El padrón de proveedores;</w:t>
      </w:r>
      <w:r w:rsidRPr="0049787B">
        <w:rPr>
          <w:rFonts w:asciiTheme="minorHAnsi" w:hAnsiTheme="minorHAnsi" w:cstheme="minorHAnsi"/>
          <w:b/>
        </w:rPr>
        <w:tab/>
      </w:r>
    </w:p>
    <w:p w:rsidR="00F16269" w:rsidRPr="0049787B" w:rsidRDefault="00F16269"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5E16BE" w:rsidRPr="0049787B" w:rsidRDefault="005E16BE" w:rsidP="00A11502">
      <w:pPr>
        <w:ind w:firstLine="708"/>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XIII.- El padrón inmobiliario y el vehicular;</w:t>
      </w:r>
    </w:p>
    <w:p w:rsidR="007329D6" w:rsidRPr="0049787B" w:rsidRDefault="00A11502" w:rsidP="00A11502">
      <w:pPr>
        <w:pStyle w:val="Prrafodelista"/>
        <w:numPr>
          <w:ilvl w:val="0"/>
          <w:numId w:val="41"/>
        </w:numPr>
        <w:jc w:val="both"/>
        <w:rPr>
          <w:rFonts w:asciiTheme="minorHAnsi" w:hAnsiTheme="minorHAnsi" w:cstheme="minorHAnsi"/>
        </w:rPr>
      </w:pPr>
      <w:r w:rsidRPr="0049787B">
        <w:rPr>
          <w:rFonts w:asciiTheme="minorHAnsi" w:hAnsiTheme="minorHAnsi" w:cstheme="minorHAnsi"/>
        </w:rPr>
        <w:t>C</w:t>
      </w:r>
      <w:r w:rsidR="007329D6" w:rsidRPr="0049787B">
        <w:rPr>
          <w:rFonts w:asciiTheme="minorHAnsi" w:hAnsiTheme="minorHAnsi" w:cstheme="minorHAnsi"/>
        </w:rPr>
        <w:t>on respecto al Padrón Inmobiliario se recomienda</w:t>
      </w:r>
      <w:r w:rsidR="006014B1" w:rsidRPr="0049787B">
        <w:rPr>
          <w:rFonts w:asciiTheme="minorHAnsi" w:hAnsiTheme="minorHAnsi" w:cstheme="minorHAnsi"/>
        </w:rPr>
        <w:t xml:space="preserve"> publicar en</w:t>
      </w:r>
      <w:r w:rsidR="007329D6" w:rsidRPr="0049787B">
        <w:rPr>
          <w:rFonts w:asciiTheme="minorHAnsi" w:hAnsiTheme="minorHAnsi" w:cstheme="minorHAnsi"/>
        </w:rPr>
        <w:t xml:space="preserve"> la sección</w:t>
      </w:r>
      <w:r w:rsidR="006014B1" w:rsidRPr="0049787B">
        <w:rPr>
          <w:rFonts w:asciiTheme="minorHAnsi" w:hAnsiTheme="minorHAnsi" w:cstheme="minorHAnsi"/>
        </w:rPr>
        <w:t>, la modalidad de posesión (propiedad, usufructo, arrendamiento, comodato, deposito o cualquier otra modalidad), código o clave catastral, valor catastral del inmueble.</w:t>
      </w:r>
      <w:r w:rsidR="00846F08" w:rsidRPr="0049787B">
        <w:rPr>
          <w:rFonts w:asciiTheme="minorHAnsi" w:hAnsiTheme="minorHAnsi" w:cstheme="minorHAnsi"/>
          <w:b/>
        </w:rPr>
        <w:t xml:space="preserve"> NO ATENDIDA</w:t>
      </w:r>
    </w:p>
    <w:p w:rsidR="005E16BE" w:rsidRPr="0049787B" w:rsidRDefault="007329D6" w:rsidP="00A11502">
      <w:pPr>
        <w:pStyle w:val="Prrafodelista"/>
        <w:numPr>
          <w:ilvl w:val="0"/>
          <w:numId w:val="41"/>
        </w:numPr>
        <w:jc w:val="both"/>
        <w:rPr>
          <w:rFonts w:asciiTheme="minorHAnsi" w:hAnsiTheme="minorHAnsi" w:cstheme="minorHAnsi"/>
        </w:rPr>
      </w:pPr>
      <w:r w:rsidRPr="0049787B">
        <w:rPr>
          <w:rFonts w:asciiTheme="minorHAnsi" w:hAnsiTheme="minorHAnsi" w:cstheme="minorHAnsi"/>
        </w:rPr>
        <w:t>Con respecto al Padrón Vehicular:</w:t>
      </w:r>
      <w:r w:rsidR="006014B1" w:rsidRPr="0049787B">
        <w:rPr>
          <w:rFonts w:asciiTheme="minorHAnsi" w:hAnsiTheme="minorHAnsi" w:cstheme="minorHAnsi"/>
        </w:rPr>
        <w:t xml:space="preserve"> Se </w:t>
      </w:r>
      <w:r w:rsidRPr="0049787B">
        <w:rPr>
          <w:rFonts w:asciiTheme="minorHAnsi" w:hAnsiTheme="minorHAnsi" w:cstheme="minorHAnsi"/>
        </w:rPr>
        <w:t>recomienda</w:t>
      </w:r>
      <w:r w:rsidR="006014B1" w:rsidRPr="0049787B">
        <w:rPr>
          <w:rFonts w:asciiTheme="minorHAnsi" w:hAnsiTheme="minorHAnsi" w:cstheme="minorHAnsi"/>
        </w:rPr>
        <w:t xml:space="preserve"> publicar el puesto del funcionario al que se encuentra asignado.           </w:t>
      </w:r>
      <w:r w:rsidR="00846F08" w:rsidRPr="0049787B">
        <w:rPr>
          <w:rFonts w:asciiTheme="minorHAnsi" w:hAnsiTheme="minorHAnsi" w:cstheme="minorHAnsi"/>
          <w:b/>
        </w:rPr>
        <w:t>ATENDIDA</w:t>
      </w:r>
      <w:r w:rsidR="006014B1" w:rsidRPr="0049787B">
        <w:rPr>
          <w:rFonts w:asciiTheme="minorHAnsi" w:hAnsiTheme="minorHAnsi" w:cstheme="minorHAnsi"/>
        </w:rPr>
        <w:t xml:space="preserve">        </w:t>
      </w:r>
    </w:p>
    <w:p w:rsidR="005E16BE" w:rsidRPr="0049787B" w:rsidRDefault="005E16BE" w:rsidP="00A11502">
      <w:pPr>
        <w:pStyle w:val="Prrafodelista"/>
        <w:ind w:left="1068"/>
        <w:jc w:val="both"/>
        <w:rPr>
          <w:rFonts w:asciiTheme="minorHAnsi" w:hAnsiTheme="minorHAnsi" w:cstheme="minorHAnsi"/>
        </w:rPr>
      </w:pPr>
    </w:p>
    <w:p w:rsidR="006014B1" w:rsidRPr="0049787B" w:rsidRDefault="006014B1" w:rsidP="00A11502">
      <w:pPr>
        <w:pStyle w:val="Prrafodelista"/>
        <w:ind w:left="1068"/>
        <w:jc w:val="both"/>
        <w:rPr>
          <w:rFonts w:asciiTheme="minorHAnsi" w:hAnsiTheme="minorHAnsi" w:cstheme="minorHAnsi"/>
        </w:rPr>
      </w:pPr>
      <w:r w:rsidRPr="0049787B">
        <w:rPr>
          <w:rFonts w:asciiTheme="minorHAnsi" w:hAnsiTheme="minorHAnsi" w:cstheme="minorHAnsi"/>
        </w:rPr>
        <w:t xml:space="preserve">                                                                                                                                                                                             </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XIV.- Las resoluciones de los procedimientos de responsabilidad administrativa, una vez que hayan causado estado;</w:t>
      </w:r>
    </w:p>
    <w:p w:rsidR="00A557F4" w:rsidRPr="0049787B" w:rsidRDefault="00A557F4"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5E16BE" w:rsidRPr="0049787B" w:rsidRDefault="005E16BE" w:rsidP="00A11502">
      <w:pPr>
        <w:ind w:left="708"/>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XV.- Los montos asignados y criterios de acceso a los programas sociales;</w:t>
      </w:r>
    </w:p>
    <w:p w:rsidR="00F16269" w:rsidRPr="0049787B" w:rsidRDefault="00F16269"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725003" w:rsidRPr="0049787B" w:rsidRDefault="00725003" w:rsidP="00A11502">
      <w:pPr>
        <w:ind w:firstLine="708"/>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XVI.- Las leyes, reglamentos, decretos, circulares y demás normas que les resulten aplicables;</w:t>
      </w:r>
    </w:p>
    <w:p w:rsidR="007329D6" w:rsidRPr="0049787B" w:rsidRDefault="00A11502" w:rsidP="00A11502">
      <w:pPr>
        <w:pStyle w:val="Prrafodelista"/>
        <w:numPr>
          <w:ilvl w:val="0"/>
          <w:numId w:val="40"/>
        </w:numPr>
        <w:jc w:val="both"/>
      </w:pPr>
      <w:r w:rsidRPr="0049787B">
        <w:t>S</w:t>
      </w:r>
      <w:r w:rsidR="006014B1" w:rsidRPr="0049787B">
        <w:t xml:space="preserve">e </w:t>
      </w:r>
      <w:r w:rsidR="007329D6" w:rsidRPr="0049787B">
        <w:t xml:space="preserve">recomienda </w:t>
      </w:r>
      <w:r w:rsidR="006014B1" w:rsidRPr="0049787B">
        <w:t>publicar en el listado los decretos, acuerdos, manuales, lineamientos, circulares y todo otro documento que regule el actuar y/o funcione la entidad pública.</w:t>
      </w:r>
      <w:r w:rsidR="001C117E" w:rsidRPr="0049787B">
        <w:rPr>
          <w:rFonts w:asciiTheme="minorHAnsi" w:hAnsiTheme="minorHAnsi" w:cstheme="minorHAnsi"/>
          <w:b/>
        </w:rPr>
        <w:t xml:space="preserve"> NO ATENDIDA</w:t>
      </w:r>
    </w:p>
    <w:p w:rsidR="006014B1" w:rsidRPr="0049787B" w:rsidRDefault="00725003" w:rsidP="00A11502">
      <w:pPr>
        <w:pStyle w:val="Prrafodelista"/>
        <w:numPr>
          <w:ilvl w:val="0"/>
          <w:numId w:val="40"/>
        </w:numPr>
        <w:jc w:val="both"/>
      </w:pPr>
      <w:r w:rsidRPr="0049787B">
        <w:t xml:space="preserve"> Se recomienda</w:t>
      </w:r>
      <w:r w:rsidR="006014B1" w:rsidRPr="0049787B">
        <w:t xml:space="preserve"> mencionar la fecha de su publicación en el periódico oficial.</w:t>
      </w:r>
      <w:r w:rsidR="001C117E" w:rsidRPr="0049787B">
        <w:rPr>
          <w:rFonts w:asciiTheme="minorHAnsi" w:hAnsiTheme="minorHAnsi" w:cstheme="minorHAnsi"/>
          <w:b/>
        </w:rPr>
        <w:t xml:space="preserve"> ATENDIDA</w:t>
      </w:r>
    </w:p>
    <w:p w:rsidR="00725003" w:rsidRPr="0049787B" w:rsidRDefault="00725003" w:rsidP="00A11502">
      <w:pPr>
        <w:jc w:val="both"/>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lastRenderedPageBreak/>
        <w:t>a).- La justificación técnica y financiera;</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c).- En su caso, las modificaciones a las condiciones originales del contrato.</w:t>
      </w:r>
    </w:p>
    <w:p w:rsidR="008E2910" w:rsidRPr="0049787B" w:rsidRDefault="008E2910" w:rsidP="00A11502">
      <w:pPr>
        <w:ind w:firstLine="708"/>
        <w:jc w:val="both"/>
        <w:rPr>
          <w:rFonts w:asciiTheme="minorHAnsi" w:hAnsiTheme="minorHAnsi" w:cstheme="minorHAnsi"/>
        </w:rPr>
      </w:pPr>
      <w:r w:rsidRPr="0049787B">
        <w:rPr>
          <w:rFonts w:asciiTheme="minorHAnsi" w:hAnsiTheme="minorHAnsi" w:cstheme="minorHAnsi"/>
        </w:rPr>
        <w:t>No se emiten recomendaciones respecto a esta fracción.</w:t>
      </w:r>
    </w:p>
    <w:p w:rsidR="005E16BE" w:rsidRPr="0049787B" w:rsidRDefault="005E16BE" w:rsidP="00A11502">
      <w:pPr>
        <w:jc w:val="both"/>
      </w:pPr>
    </w:p>
    <w:p w:rsidR="00F16269" w:rsidRPr="0049787B" w:rsidRDefault="00F16269" w:rsidP="00A11502">
      <w:pPr>
        <w:jc w:val="both"/>
        <w:rPr>
          <w:rFonts w:asciiTheme="minorHAnsi" w:hAnsiTheme="minorHAnsi" w:cstheme="minorHAnsi"/>
        </w:rPr>
      </w:pPr>
      <w:r w:rsidRPr="0049787B">
        <w:rPr>
          <w:rFonts w:asciiTheme="minorHAnsi" w:hAnsiTheme="minorHAnsi" w:cstheme="minorHAnsi"/>
          <w:b/>
        </w:rPr>
        <w:t>XVIII.- Las adjudicaciones directas, señalando los motivos y fundamentos legales aplicados;</w:t>
      </w:r>
    </w:p>
    <w:p w:rsidR="006014B1" w:rsidRPr="0049787B" w:rsidRDefault="00F16269" w:rsidP="00A11502">
      <w:pPr>
        <w:pStyle w:val="Prrafodelista"/>
        <w:numPr>
          <w:ilvl w:val="0"/>
          <w:numId w:val="12"/>
        </w:numPr>
        <w:jc w:val="both"/>
        <w:rPr>
          <w:rFonts w:asciiTheme="minorHAnsi" w:hAnsiTheme="minorHAnsi" w:cstheme="minorHAnsi"/>
        </w:rPr>
      </w:pPr>
      <w:r w:rsidRPr="0049787B">
        <w:rPr>
          <w:rFonts w:asciiTheme="minorHAnsi" w:hAnsiTheme="minorHAnsi" w:cstheme="minorHAnsi"/>
        </w:rPr>
        <w:t xml:space="preserve">Se recomienda señalar </w:t>
      </w:r>
      <w:r w:rsidR="007329D6" w:rsidRPr="0049787B">
        <w:rPr>
          <w:rFonts w:asciiTheme="minorHAnsi" w:hAnsiTheme="minorHAnsi" w:cstheme="minorHAnsi"/>
        </w:rPr>
        <w:t>los motivos de las adjudicaciones directas.</w:t>
      </w:r>
      <w:r w:rsidR="004B677C" w:rsidRPr="0049787B">
        <w:rPr>
          <w:rFonts w:asciiTheme="minorHAnsi" w:hAnsiTheme="minorHAnsi" w:cstheme="minorHAnsi"/>
        </w:rPr>
        <w:t xml:space="preserve"> </w:t>
      </w:r>
      <w:r w:rsidR="00134CCC" w:rsidRPr="0049787B">
        <w:rPr>
          <w:rFonts w:asciiTheme="minorHAnsi" w:hAnsiTheme="minorHAnsi" w:cstheme="minorHAnsi"/>
          <w:b/>
        </w:rPr>
        <w:t>NO ATENDIDA</w:t>
      </w:r>
    </w:p>
    <w:p w:rsidR="005E16BE" w:rsidRPr="0049787B" w:rsidRDefault="005E16BE" w:rsidP="00A11502">
      <w:pPr>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D788F" w:rsidRPr="0049787B" w:rsidRDefault="002D788F"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5E16BE" w:rsidRPr="0049787B" w:rsidRDefault="005E16BE" w:rsidP="00A11502">
      <w:pPr>
        <w:ind w:left="708"/>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XX.- El domicilio, número telefónico y la dirección electrónica de la Unidad de Transparencia, así como del Órgano Garante;</w:t>
      </w:r>
    </w:p>
    <w:p w:rsidR="006014B1" w:rsidRPr="0049787B" w:rsidRDefault="006014B1" w:rsidP="00A11502">
      <w:pPr>
        <w:pStyle w:val="Prrafodelista"/>
        <w:numPr>
          <w:ilvl w:val="0"/>
          <w:numId w:val="38"/>
        </w:numPr>
        <w:jc w:val="both"/>
        <w:rPr>
          <w:rFonts w:asciiTheme="minorHAnsi" w:hAnsiTheme="minorHAnsi" w:cstheme="minorHAnsi"/>
        </w:rPr>
      </w:pPr>
      <w:r w:rsidRPr="0049787B">
        <w:rPr>
          <w:rFonts w:asciiTheme="minorHAnsi" w:hAnsiTheme="minorHAnsi" w:cstheme="minorHAnsi"/>
        </w:rPr>
        <w:t xml:space="preserve">Se </w:t>
      </w:r>
      <w:r w:rsidR="002D788F" w:rsidRPr="0049787B">
        <w:rPr>
          <w:rFonts w:asciiTheme="minorHAnsi" w:hAnsiTheme="minorHAnsi" w:cstheme="minorHAnsi"/>
        </w:rPr>
        <w:t>recomienda</w:t>
      </w:r>
      <w:r w:rsidRPr="0049787B">
        <w:rPr>
          <w:rFonts w:asciiTheme="minorHAnsi" w:hAnsiTheme="minorHAnsi" w:cstheme="minorHAnsi"/>
        </w:rPr>
        <w:t xml:space="preserve"> publicar el nombre del servidor público que desempeña las funciones </w:t>
      </w:r>
      <w:r w:rsidR="002D788F" w:rsidRPr="0049787B">
        <w:rPr>
          <w:rFonts w:asciiTheme="minorHAnsi" w:hAnsiTheme="minorHAnsi" w:cstheme="minorHAnsi"/>
        </w:rPr>
        <w:t>como</w:t>
      </w:r>
      <w:r w:rsidRPr="0049787B">
        <w:rPr>
          <w:rFonts w:asciiTheme="minorHAnsi" w:hAnsiTheme="minorHAnsi" w:cstheme="minorHAnsi"/>
        </w:rPr>
        <w:t xml:space="preserve"> Titular de la Unidad de Transparencia del Órgano Garante y </w:t>
      </w:r>
      <w:r w:rsidR="000B4B11" w:rsidRPr="0049787B">
        <w:rPr>
          <w:rFonts w:asciiTheme="minorHAnsi" w:hAnsiTheme="minorHAnsi" w:cstheme="minorHAnsi"/>
        </w:rPr>
        <w:t>vincularle con</w:t>
      </w:r>
      <w:r w:rsidRPr="0049787B">
        <w:rPr>
          <w:rFonts w:asciiTheme="minorHAnsi" w:hAnsiTheme="minorHAnsi" w:cstheme="minorHAnsi"/>
        </w:rPr>
        <w:t xml:space="preserve"> el cargo.</w:t>
      </w:r>
      <w:r w:rsidR="00134CCC" w:rsidRPr="0049787B">
        <w:rPr>
          <w:rFonts w:asciiTheme="minorHAnsi" w:hAnsiTheme="minorHAnsi" w:cstheme="minorHAnsi"/>
          <w:b/>
        </w:rPr>
        <w:t xml:space="preserve"> NO ATENDIDA</w:t>
      </w:r>
    </w:p>
    <w:p w:rsidR="005E16BE" w:rsidRPr="0049787B" w:rsidRDefault="005E16BE" w:rsidP="00A11502">
      <w:pPr>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XXI.- La relación de solicitudes de acceso a la información pública y las respuestas que se les den;</w:t>
      </w:r>
    </w:p>
    <w:p w:rsidR="003E7F12" w:rsidRPr="0049787B" w:rsidRDefault="003E7F12"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3E7F12" w:rsidRPr="0049787B" w:rsidRDefault="003E7F12" w:rsidP="00A11502">
      <w:pPr>
        <w:jc w:val="both"/>
        <w:rPr>
          <w:rFonts w:asciiTheme="minorHAnsi" w:hAnsiTheme="minorHAnsi" w:cstheme="minorHAnsi"/>
        </w:rPr>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XXII La relación de los servidores públicos comisionados fuera de su área de adscripción por cualquier causa, incluso de carácter sindical;</w:t>
      </w:r>
    </w:p>
    <w:p w:rsidR="002D788F" w:rsidRPr="0049787B" w:rsidRDefault="002D788F"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lastRenderedPageBreak/>
        <w:t>XXIII.- Los dictámenes de las auditorías que se practiquen a los sujetos obligados;</w:t>
      </w:r>
    </w:p>
    <w:p w:rsidR="00E34BA7" w:rsidRPr="0049787B" w:rsidRDefault="00E34BA7" w:rsidP="00A11502">
      <w:pPr>
        <w:jc w:val="both"/>
      </w:pPr>
      <w:r w:rsidRPr="0049787B">
        <w:t xml:space="preserve">Se recomienda publicar el listado de las auditorías realizadas durante el ejercicio presupuestal en curso de cada Sujeto obligado que realicen los Órganos Internos de Control de cada Sujeto Obligado, el Órgano de Fiscalización Superior del Estado y los Auditores Externos, indicando la siguiente información: </w:t>
      </w:r>
    </w:p>
    <w:p w:rsidR="00E34BA7" w:rsidRPr="0049787B" w:rsidRDefault="00E34BA7" w:rsidP="00A11502">
      <w:pPr>
        <w:pStyle w:val="Prrafodelista"/>
        <w:numPr>
          <w:ilvl w:val="0"/>
          <w:numId w:val="44"/>
        </w:numPr>
        <w:jc w:val="both"/>
      </w:pPr>
      <w:r w:rsidRPr="0049787B">
        <w:t xml:space="preserve">Unidad administrativa auditada, </w:t>
      </w:r>
      <w:r w:rsidR="007E5E2E" w:rsidRPr="0049787B">
        <w:rPr>
          <w:rFonts w:asciiTheme="minorHAnsi" w:hAnsiTheme="minorHAnsi" w:cstheme="minorHAnsi"/>
          <w:b/>
        </w:rPr>
        <w:t>NO ATENDIDA</w:t>
      </w:r>
    </w:p>
    <w:p w:rsidR="00E34BA7" w:rsidRPr="0049787B" w:rsidRDefault="00E34BA7" w:rsidP="00A11502">
      <w:pPr>
        <w:pStyle w:val="Prrafodelista"/>
        <w:numPr>
          <w:ilvl w:val="0"/>
          <w:numId w:val="44"/>
        </w:numPr>
        <w:jc w:val="both"/>
      </w:pPr>
      <w:r w:rsidRPr="0049787B">
        <w:t xml:space="preserve">Periodo, </w:t>
      </w:r>
      <w:r w:rsidR="007E5E2E" w:rsidRPr="0049787B">
        <w:rPr>
          <w:rFonts w:asciiTheme="minorHAnsi" w:hAnsiTheme="minorHAnsi" w:cstheme="minorHAnsi"/>
          <w:b/>
        </w:rPr>
        <w:t>NO ATENDIDA</w:t>
      </w:r>
    </w:p>
    <w:p w:rsidR="00E34BA7" w:rsidRPr="0049787B" w:rsidRDefault="00E34BA7" w:rsidP="00A11502">
      <w:pPr>
        <w:pStyle w:val="Prrafodelista"/>
        <w:numPr>
          <w:ilvl w:val="0"/>
          <w:numId w:val="44"/>
        </w:numPr>
        <w:jc w:val="both"/>
      </w:pPr>
      <w:r w:rsidRPr="0049787B">
        <w:t xml:space="preserve">Tipo de auditoría (integral, específica, de programas, de desempeño, de control, de seguimiento y otras, </w:t>
      </w:r>
      <w:r w:rsidR="007E5E2E" w:rsidRPr="0049787B">
        <w:rPr>
          <w:rFonts w:asciiTheme="minorHAnsi" w:hAnsiTheme="minorHAnsi" w:cstheme="minorHAnsi"/>
          <w:b/>
        </w:rPr>
        <w:t>NO ATENDIDA</w:t>
      </w:r>
    </w:p>
    <w:p w:rsidR="00E34BA7" w:rsidRPr="0049787B" w:rsidRDefault="00E34BA7" w:rsidP="00A11502">
      <w:pPr>
        <w:pStyle w:val="Prrafodelista"/>
        <w:numPr>
          <w:ilvl w:val="0"/>
          <w:numId w:val="44"/>
        </w:numPr>
        <w:jc w:val="both"/>
      </w:pPr>
      <w:r w:rsidRPr="0049787B">
        <w:t xml:space="preserve">Número y tipo de observaciones,  </w:t>
      </w:r>
      <w:r w:rsidR="007E5E2E" w:rsidRPr="0049787B">
        <w:rPr>
          <w:rFonts w:asciiTheme="minorHAnsi" w:hAnsiTheme="minorHAnsi" w:cstheme="minorHAnsi"/>
          <w:b/>
        </w:rPr>
        <w:t>NO ATENDIDA</w:t>
      </w:r>
    </w:p>
    <w:p w:rsidR="00E34BA7" w:rsidRPr="0049787B" w:rsidRDefault="00E34BA7" w:rsidP="00A11502">
      <w:pPr>
        <w:pStyle w:val="Prrafodelista"/>
        <w:numPr>
          <w:ilvl w:val="0"/>
          <w:numId w:val="44"/>
        </w:numPr>
        <w:jc w:val="both"/>
      </w:pPr>
      <w:r w:rsidRPr="0049787B">
        <w:t xml:space="preserve">Observaciones solventadas, y </w:t>
      </w:r>
      <w:r w:rsidR="007E5E2E" w:rsidRPr="0049787B">
        <w:rPr>
          <w:rFonts w:asciiTheme="minorHAnsi" w:hAnsiTheme="minorHAnsi" w:cstheme="minorHAnsi"/>
          <w:b/>
        </w:rPr>
        <w:t>NO ATENDIDA</w:t>
      </w:r>
    </w:p>
    <w:p w:rsidR="00E34BA7" w:rsidRPr="0049787B" w:rsidRDefault="00E34BA7" w:rsidP="00A11502">
      <w:pPr>
        <w:pStyle w:val="Prrafodelista"/>
        <w:numPr>
          <w:ilvl w:val="0"/>
          <w:numId w:val="44"/>
        </w:numPr>
        <w:jc w:val="both"/>
      </w:pPr>
      <w:r w:rsidRPr="0049787B">
        <w:t>vínculo a copia íntegra</w:t>
      </w:r>
      <w:bookmarkStart w:id="0" w:name="_GoBack"/>
      <w:bookmarkEnd w:id="0"/>
      <w:r w:rsidRPr="0049787B">
        <w:t xml:space="preserve"> del informe de auditoría o dictamen.</w:t>
      </w:r>
      <w:r w:rsidR="007E5E2E" w:rsidRPr="0049787B">
        <w:rPr>
          <w:rFonts w:asciiTheme="minorHAnsi" w:hAnsiTheme="minorHAnsi" w:cstheme="minorHAnsi"/>
          <w:b/>
        </w:rPr>
        <w:t xml:space="preserve"> NO ATENDIDA</w:t>
      </w:r>
      <w:r w:rsidRPr="0049787B">
        <w:tab/>
      </w:r>
    </w:p>
    <w:p w:rsidR="00E34BA7" w:rsidRPr="0049787B" w:rsidRDefault="00E34BA7" w:rsidP="00A11502">
      <w:pPr>
        <w:pStyle w:val="Prrafodelista"/>
        <w:ind w:left="1776"/>
        <w:jc w:val="both"/>
      </w:pPr>
    </w:p>
    <w:p w:rsidR="00E34BA7" w:rsidRPr="0049787B" w:rsidRDefault="00E34BA7" w:rsidP="00A11502">
      <w:pPr>
        <w:pStyle w:val="Prrafodelista"/>
        <w:ind w:left="1776"/>
        <w:jc w:val="both"/>
      </w:pPr>
    </w:p>
    <w:p w:rsidR="00F16269" w:rsidRPr="0049787B" w:rsidRDefault="00F16269" w:rsidP="00A11502">
      <w:pPr>
        <w:jc w:val="both"/>
      </w:pPr>
      <w:r w:rsidRPr="0049787B">
        <w:rPr>
          <w:rFonts w:asciiTheme="minorHAnsi" w:hAnsiTheme="minorHAnsi" w:cstheme="minorHAnsi"/>
          <w:b/>
        </w:rPr>
        <w:t>XXIV.-Los informes que por disposición legal generen los sujetos obligados; y</w:t>
      </w:r>
    </w:p>
    <w:p w:rsidR="00F16269" w:rsidRPr="0049787B" w:rsidRDefault="002D788F" w:rsidP="00A11502">
      <w:pPr>
        <w:jc w:val="both"/>
        <w:rPr>
          <w:rFonts w:asciiTheme="minorHAnsi" w:hAnsiTheme="minorHAnsi" w:cstheme="minorHAnsi"/>
        </w:rPr>
      </w:pPr>
      <w:r w:rsidRPr="0049787B">
        <w:rPr>
          <w:rFonts w:asciiTheme="minorHAnsi" w:hAnsiTheme="minorHAnsi" w:cstheme="minorHAnsi"/>
        </w:rPr>
        <w:t>Se recomienda publicar</w:t>
      </w:r>
      <w:r w:rsidR="00F16269" w:rsidRPr="0049787B">
        <w:rPr>
          <w:rFonts w:asciiTheme="minorHAnsi" w:hAnsiTheme="minorHAnsi" w:cstheme="minorHAnsi"/>
        </w:rPr>
        <w:t xml:space="preserve"> </w:t>
      </w:r>
      <w:r w:rsidR="00935186" w:rsidRPr="0049787B">
        <w:rPr>
          <w:rFonts w:asciiTheme="minorHAnsi" w:hAnsiTheme="minorHAnsi" w:cstheme="minorHAnsi"/>
        </w:rPr>
        <w:t xml:space="preserve">adicionalmente </w:t>
      </w:r>
      <w:r w:rsidR="00F16269" w:rsidRPr="0049787B">
        <w:rPr>
          <w:rFonts w:asciiTheme="minorHAnsi" w:hAnsiTheme="minorHAnsi" w:cstheme="minorHAnsi"/>
        </w:rPr>
        <w:t>el Informe Anual</w:t>
      </w:r>
      <w:r w:rsidRPr="0049787B">
        <w:rPr>
          <w:rFonts w:asciiTheme="minorHAnsi" w:hAnsiTheme="minorHAnsi" w:cstheme="minorHAnsi"/>
        </w:rPr>
        <w:t xml:space="preserve"> </w:t>
      </w:r>
      <w:r w:rsidR="00F16269" w:rsidRPr="0049787B">
        <w:rPr>
          <w:rFonts w:asciiTheme="minorHAnsi" w:hAnsiTheme="minorHAnsi" w:cstheme="minorHAnsi"/>
        </w:rPr>
        <w:t>de Acceso a la Información</w:t>
      </w:r>
      <w:r w:rsidRPr="0049787B">
        <w:rPr>
          <w:rFonts w:asciiTheme="minorHAnsi" w:hAnsiTheme="minorHAnsi" w:cstheme="minorHAnsi"/>
        </w:rPr>
        <w:t xml:space="preserve"> </w:t>
      </w:r>
      <w:r w:rsidR="00F16269" w:rsidRPr="0049787B">
        <w:rPr>
          <w:rFonts w:asciiTheme="minorHAnsi" w:hAnsiTheme="minorHAnsi" w:cstheme="minorHAnsi"/>
        </w:rPr>
        <w:t>que señala el artículo 39 de la Ley de Transparencia y Acceso a la Información Pública pa</w:t>
      </w:r>
      <w:r w:rsidR="00935186" w:rsidRPr="0049787B">
        <w:rPr>
          <w:rFonts w:asciiTheme="minorHAnsi" w:hAnsiTheme="minorHAnsi" w:cstheme="minorHAnsi"/>
        </w:rPr>
        <w:t>ra el Estado de Baja California, indicando para cada uno de los informes:</w:t>
      </w:r>
    </w:p>
    <w:p w:rsidR="00935186" w:rsidRPr="0049787B" w:rsidRDefault="00935186" w:rsidP="00A11502">
      <w:pPr>
        <w:pStyle w:val="Prrafodelista"/>
        <w:numPr>
          <w:ilvl w:val="0"/>
          <w:numId w:val="45"/>
        </w:numPr>
        <w:jc w:val="both"/>
      </w:pPr>
      <w:r w:rsidRPr="0049787B">
        <w:t xml:space="preserve">Fundamento legal por el cual se presenta el informe, </w:t>
      </w:r>
      <w:r w:rsidR="00164C2F" w:rsidRPr="0049787B">
        <w:rPr>
          <w:rFonts w:asciiTheme="minorHAnsi" w:hAnsiTheme="minorHAnsi" w:cstheme="minorHAnsi"/>
          <w:b/>
        </w:rPr>
        <w:t>NO ATENDIDA</w:t>
      </w:r>
    </w:p>
    <w:p w:rsidR="00935186" w:rsidRPr="0049787B" w:rsidRDefault="00935186" w:rsidP="00A11502">
      <w:pPr>
        <w:pStyle w:val="Prrafodelista"/>
        <w:numPr>
          <w:ilvl w:val="0"/>
          <w:numId w:val="45"/>
        </w:numPr>
        <w:jc w:val="both"/>
      </w:pPr>
      <w:r w:rsidRPr="0049787B">
        <w:t>Periodo que se informa y</w:t>
      </w:r>
      <w:r w:rsidR="00164C2F" w:rsidRPr="0049787B">
        <w:rPr>
          <w:rFonts w:asciiTheme="minorHAnsi" w:hAnsiTheme="minorHAnsi" w:cstheme="minorHAnsi"/>
          <w:b/>
        </w:rPr>
        <w:t xml:space="preserve"> NO ATENDIDA</w:t>
      </w:r>
    </w:p>
    <w:p w:rsidR="00935186" w:rsidRPr="0049787B" w:rsidRDefault="00935186" w:rsidP="00A11502">
      <w:pPr>
        <w:pStyle w:val="Prrafodelista"/>
        <w:numPr>
          <w:ilvl w:val="0"/>
          <w:numId w:val="45"/>
        </w:numPr>
        <w:jc w:val="both"/>
      </w:pPr>
      <w:r w:rsidRPr="0049787B">
        <w:t xml:space="preserve"> Vinculo al documento respectivo.</w:t>
      </w:r>
      <w:r w:rsidRPr="0049787B">
        <w:tab/>
      </w:r>
      <w:r w:rsidR="00164C2F" w:rsidRPr="0049787B">
        <w:rPr>
          <w:rFonts w:asciiTheme="minorHAnsi" w:hAnsiTheme="minorHAnsi" w:cstheme="minorHAnsi"/>
          <w:b/>
        </w:rPr>
        <w:t>NO ATENDIDA</w:t>
      </w:r>
    </w:p>
    <w:p w:rsidR="00935186" w:rsidRPr="0049787B" w:rsidRDefault="00935186" w:rsidP="00A11502">
      <w:pPr>
        <w:pStyle w:val="Prrafodelista"/>
        <w:ind w:left="1776"/>
        <w:jc w:val="both"/>
      </w:pPr>
    </w:p>
    <w:p w:rsidR="00F16269" w:rsidRPr="0049787B" w:rsidRDefault="00F16269" w:rsidP="00A11502">
      <w:pPr>
        <w:jc w:val="both"/>
        <w:rPr>
          <w:rFonts w:asciiTheme="minorHAnsi" w:hAnsiTheme="minorHAnsi" w:cstheme="minorHAnsi"/>
          <w:b/>
        </w:rPr>
      </w:pPr>
      <w:r w:rsidRPr="0049787B">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8A0D1D" w:rsidRPr="0049787B" w:rsidRDefault="008A0D1D" w:rsidP="00A11502">
      <w:pPr>
        <w:jc w:val="both"/>
        <w:rPr>
          <w:rFonts w:asciiTheme="minorHAnsi" w:hAnsiTheme="minorHAnsi" w:cstheme="minorHAnsi"/>
        </w:rPr>
      </w:pPr>
      <w:r w:rsidRPr="0049787B">
        <w:rPr>
          <w:rFonts w:asciiTheme="minorHAnsi" w:hAnsiTheme="minorHAnsi" w:cstheme="minorHAnsi"/>
        </w:rPr>
        <w:t>No se emiten recomendaciones respecto a esta fracción.</w:t>
      </w:r>
    </w:p>
    <w:p w:rsidR="00F16269" w:rsidRPr="0049787B" w:rsidRDefault="00F16269" w:rsidP="00A11502">
      <w:pPr>
        <w:autoSpaceDE w:val="0"/>
        <w:autoSpaceDN w:val="0"/>
        <w:adjustRightInd w:val="0"/>
        <w:spacing w:after="0" w:line="240" w:lineRule="auto"/>
        <w:jc w:val="both"/>
        <w:rPr>
          <w:rFonts w:asciiTheme="minorHAnsi" w:hAnsiTheme="minorHAnsi" w:cstheme="minorHAnsi"/>
          <w:b/>
        </w:rPr>
      </w:pPr>
    </w:p>
    <w:p w:rsidR="00A11502" w:rsidRPr="0049787B" w:rsidRDefault="00A11502" w:rsidP="00A11502">
      <w:pPr>
        <w:autoSpaceDE w:val="0"/>
        <w:autoSpaceDN w:val="0"/>
        <w:adjustRightInd w:val="0"/>
        <w:spacing w:after="0" w:line="240" w:lineRule="auto"/>
        <w:jc w:val="both"/>
        <w:rPr>
          <w:rFonts w:asciiTheme="minorHAnsi" w:hAnsiTheme="minorHAnsi" w:cstheme="minorHAnsi"/>
          <w:b/>
        </w:rPr>
      </w:pPr>
    </w:p>
    <w:p w:rsidR="00A11502" w:rsidRPr="0049787B" w:rsidRDefault="00A11502" w:rsidP="00A11502">
      <w:pPr>
        <w:autoSpaceDE w:val="0"/>
        <w:autoSpaceDN w:val="0"/>
        <w:adjustRightInd w:val="0"/>
        <w:spacing w:after="0" w:line="240" w:lineRule="auto"/>
        <w:jc w:val="both"/>
        <w:rPr>
          <w:rFonts w:asciiTheme="minorHAnsi" w:hAnsiTheme="minorHAnsi" w:cstheme="minorHAnsi"/>
          <w:b/>
        </w:rPr>
      </w:pPr>
    </w:p>
    <w:p w:rsidR="00A11502" w:rsidRPr="0049787B" w:rsidRDefault="00A11502" w:rsidP="00A11502">
      <w:pPr>
        <w:autoSpaceDE w:val="0"/>
        <w:autoSpaceDN w:val="0"/>
        <w:adjustRightInd w:val="0"/>
        <w:spacing w:after="0" w:line="240" w:lineRule="auto"/>
        <w:jc w:val="both"/>
        <w:rPr>
          <w:rFonts w:asciiTheme="minorHAnsi" w:hAnsiTheme="minorHAnsi" w:cstheme="minorHAnsi"/>
          <w:b/>
        </w:rPr>
      </w:pPr>
    </w:p>
    <w:p w:rsidR="00A11502" w:rsidRPr="0049787B" w:rsidRDefault="00A11502" w:rsidP="00A11502">
      <w:pPr>
        <w:autoSpaceDE w:val="0"/>
        <w:autoSpaceDN w:val="0"/>
        <w:adjustRightInd w:val="0"/>
        <w:spacing w:after="0" w:line="240" w:lineRule="auto"/>
        <w:jc w:val="both"/>
        <w:rPr>
          <w:rFonts w:asciiTheme="minorHAnsi" w:hAnsiTheme="minorHAnsi" w:cstheme="minorHAnsi"/>
          <w:b/>
        </w:rPr>
      </w:pPr>
    </w:p>
    <w:p w:rsidR="00A11502" w:rsidRPr="0049787B" w:rsidRDefault="00A11502" w:rsidP="00A11502">
      <w:pPr>
        <w:autoSpaceDE w:val="0"/>
        <w:autoSpaceDN w:val="0"/>
        <w:adjustRightInd w:val="0"/>
        <w:spacing w:after="0" w:line="240" w:lineRule="auto"/>
        <w:jc w:val="both"/>
        <w:rPr>
          <w:rFonts w:asciiTheme="minorHAnsi" w:hAnsiTheme="minorHAnsi" w:cstheme="minorHAnsi"/>
          <w:b/>
        </w:rPr>
      </w:pPr>
    </w:p>
    <w:p w:rsidR="00A11502" w:rsidRPr="0049787B" w:rsidRDefault="00A11502" w:rsidP="00A11502">
      <w:pPr>
        <w:autoSpaceDE w:val="0"/>
        <w:autoSpaceDN w:val="0"/>
        <w:adjustRightInd w:val="0"/>
        <w:spacing w:after="0" w:line="240" w:lineRule="auto"/>
        <w:jc w:val="both"/>
        <w:rPr>
          <w:rFonts w:asciiTheme="minorHAnsi" w:hAnsiTheme="minorHAnsi" w:cstheme="minorHAnsi"/>
          <w:b/>
        </w:rPr>
      </w:pPr>
    </w:p>
    <w:p w:rsidR="00F16269" w:rsidRPr="0049787B" w:rsidRDefault="00F16269" w:rsidP="00244816">
      <w:pPr>
        <w:autoSpaceDE w:val="0"/>
        <w:autoSpaceDN w:val="0"/>
        <w:adjustRightInd w:val="0"/>
        <w:spacing w:after="0" w:line="240" w:lineRule="auto"/>
        <w:jc w:val="both"/>
        <w:rPr>
          <w:rFonts w:asciiTheme="minorHAnsi" w:hAnsiTheme="minorHAnsi" w:cstheme="minorHAnsi"/>
          <w:b/>
        </w:rPr>
      </w:pPr>
      <w:r w:rsidRPr="0049787B">
        <w:rPr>
          <w:rFonts w:asciiTheme="minorHAnsi" w:hAnsiTheme="minorHAnsi" w:cstheme="minorHAnsi"/>
          <w:b/>
        </w:rPr>
        <w:lastRenderedPageBreak/>
        <w:t>Artículo 13.- Además de la información contenida en el artículo 11 que le resulte aplicable, el Poder Legislativo deberá dar a conocer:</w:t>
      </w:r>
    </w:p>
    <w:p w:rsidR="00F16269" w:rsidRPr="0049787B" w:rsidRDefault="00F16269" w:rsidP="00244816">
      <w:pPr>
        <w:autoSpaceDE w:val="0"/>
        <w:autoSpaceDN w:val="0"/>
        <w:adjustRightInd w:val="0"/>
        <w:spacing w:after="0" w:line="240" w:lineRule="auto"/>
        <w:jc w:val="both"/>
        <w:rPr>
          <w:rFonts w:asciiTheme="minorHAnsi" w:hAnsiTheme="minorHAnsi" w:cstheme="minorHAnsi"/>
          <w:b/>
        </w:rPr>
      </w:pPr>
    </w:p>
    <w:p w:rsidR="00F16269" w:rsidRPr="0049787B" w:rsidRDefault="00F16269" w:rsidP="00244816">
      <w:pPr>
        <w:pStyle w:val="Sinespaciado"/>
        <w:jc w:val="both"/>
        <w:rPr>
          <w:b/>
        </w:rPr>
      </w:pPr>
      <w:r w:rsidRPr="0049787B">
        <w:rPr>
          <w:b/>
        </w:rPr>
        <w:t xml:space="preserve">I.- </w:t>
      </w:r>
      <w:r w:rsidR="009E475F" w:rsidRPr="0049787B">
        <w:rPr>
          <w:b/>
        </w:rPr>
        <w:t>Las leyes, decretos, acuerdos de los órganos de gobierno y proposiciones con punto de acuerdo que haya expedido;</w:t>
      </w:r>
    </w:p>
    <w:p w:rsidR="00A11502" w:rsidRPr="0049787B" w:rsidRDefault="00A11502" w:rsidP="00244816">
      <w:pPr>
        <w:pStyle w:val="Sinespaciado"/>
        <w:jc w:val="both"/>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ind w:left="708"/>
        <w:jc w:val="both"/>
        <w:rPr>
          <w:rFonts w:asciiTheme="minorHAnsi" w:hAnsiTheme="minorHAnsi" w:cstheme="minorHAnsi"/>
        </w:rPr>
      </w:pPr>
    </w:p>
    <w:p w:rsidR="00F16269" w:rsidRPr="0049787B" w:rsidRDefault="00F16269" w:rsidP="00244816">
      <w:pPr>
        <w:pStyle w:val="Sinespaciado"/>
        <w:jc w:val="both"/>
        <w:rPr>
          <w:b/>
        </w:rPr>
      </w:pPr>
      <w:r w:rsidRPr="0049787B">
        <w:rPr>
          <w:b/>
        </w:rPr>
        <w:t>II.-</w:t>
      </w:r>
      <w:r w:rsidR="009E475F" w:rsidRPr="0049787B">
        <w:rPr>
          <w:b/>
        </w:rPr>
        <w:t xml:space="preserve"> El Plan de Desarrollo Legislativo, así como las agendas </w:t>
      </w:r>
      <w:r w:rsidR="000B4B11" w:rsidRPr="0049787B">
        <w:rPr>
          <w:b/>
        </w:rPr>
        <w:t>legislativas correspondientes</w:t>
      </w:r>
      <w:r w:rsidR="009E475F" w:rsidRPr="0049787B">
        <w:rPr>
          <w:b/>
        </w:rPr>
        <w:t xml:space="preserve"> a los Grupos Parlamentarios y Diputados que cuenten con un escaño en el Congreso del Estado;</w:t>
      </w:r>
    </w:p>
    <w:p w:rsidR="005E16BE" w:rsidRPr="0049787B" w:rsidRDefault="005E16BE" w:rsidP="00244816">
      <w:pPr>
        <w:pStyle w:val="Sinespaciado"/>
        <w:jc w:val="both"/>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ind w:left="708"/>
        <w:jc w:val="both"/>
        <w:rPr>
          <w:rFonts w:asciiTheme="minorHAnsi" w:hAnsiTheme="minorHAnsi" w:cstheme="minorHAnsi"/>
        </w:rPr>
      </w:pPr>
    </w:p>
    <w:p w:rsidR="00F16269" w:rsidRPr="0049787B" w:rsidRDefault="00F16269" w:rsidP="00244816">
      <w:pPr>
        <w:pStyle w:val="Sinespaciado"/>
        <w:jc w:val="both"/>
        <w:rPr>
          <w:b/>
        </w:rPr>
      </w:pPr>
      <w:r w:rsidRPr="0049787B">
        <w:rPr>
          <w:b/>
        </w:rPr>
        <w:t xml:space="preserve">III.- </w:t>
      </w:r>
      <w:r w:rsidR="009E475F" w:rsidRPr="0049787B">
        <w:rPr>
          <w:b/>
        </w:rPr>
        <w:t>Las  convocatorias  y  lista  de  asistencia  de  los  Diputados,  al  pleno, Comisiones y comités, así como sus actas, acuerdos y resoluciones;</w:t>
      </w:r>
    </w:p>
    <w:p w:rsidR="005E16BE" w:rsidRPr="0049787B" w:rsidRDefault="005E16BE" w:rsidP="00244816">
      <w:pPr>
        <w:pStyle w:val="Sinespaciado"/>
        <w:jc w:val="both"/>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090554" w:rsidRPr="0049787B" w:rsidRDefault="00090554" w:rsidP="00244816">
      <w:pPr>
        <w:pStyle w:val="Prrafodelista"/>
        <w:autoSpaceDE w:val="0"/>
        <w:autoSpaceDN w:val="0"/>
        <w:adjustRightInd w:val="0"/>
        <w:spacing w:after="0" w:line="240" w:lineRule="auto"/>
        <w:ind w:left="708"/>
        <w:jc w:val="both"/>
        <w:rPr>
          <w:rFonts w:asciiTheme="minorHAnsi" w:hAnsiTheme="minorHAnsi" w:cstheme="minorHAnsi"/>
        </w:rPr>
      </w:pPr>
    </w:p>
    <w:p w:rsidR="00F16269" w:rsidRPr="0049787B" w:rsidRDefault="00F16269" w:rsidP="00244816">
      <w:pPr>
        <w:pStyle w:val="Sinespaciado"/>
        <w:jc w:val="both"/>
        <w:rPr>
          <w:b/>
        </w:rPr>
      </w:pPr>
      <w:r w:rsidRPr="0049787B">
        <w:rPr>
          <w:b/>
        </w:rPr>
        <w:t xml:space="preserve">IV.- </w:t>
      </w:r>
      <w:r w:rsidR="009E475F" w:rsidRPr="0049787B">
        <w:rPr>
          <w:b/>
        </w:rPr>
        <w:t>Las  iniciativas  de  ley,  decreto  y  proposiciones  con  punto  de  acuerdo económico y cualquier otra disposición de carácter general, incluyendo en cada caso el nombre o nombres de quienes las presentan, la fecha en que se recibió, la comisión o comisiones a las que hubiere sido turnada, así como el estado que guardan en su caso los  dictámenes  que  recaigan  sobre  las  mismas,  clasificándolas  por  grupo parlamentario o por Diputado;</w:t>
      </w:r>
    </w:p>
    <w:p w:rsidR="005E16BE" w:rsidRPr="0049787B" w:rsidRDefault="005E16BE" w:rsidP="00244816">
      <w:pPr>
        <w:pStyle w:val="Sinespaciado"/>
        <w:jc w:val="both"/>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ind w:left="708"/>
        <w:jc w:val="both"/>
        <w:rPr>
          <w:rFonts w:asciiTheme="minorHAnsi" w:hAnsiTheme="minorHAnsi" w:cstheme="minorHAnsi"/>
        </w:rPr>
      </w:pPr>
    </w:p>
    <w:p w:rsidR="006014B1" w:rsidRPr="0049787B" w:rsidRDefault="006014B1" w:rsidP="00244816">
      <w:pPr>
        <w:autoSpaceDE w:val="0"/>
        <w:autoSpaceDN w:val="0"/>
        <w:adjustRightInd w:val="0"/>
        <w:spacing w:after="0" w:line="240" w:lineRule="auto"/>
        <w:ind w:left="708"/>
        <w:jc w:val="both"/>
        <w:rPr>
          <w:rFonts w:asciiTheme="minorHAnsi" w:hAnsiTheme="minorHAnsi" w:cstheme="minorHAnsi"/>
        </w:rPr>
      </w:pPr>
    </w:p>
    <w:p w:rsidR="00F16269" w:rsidRPr="0049787B" w:rsidRDefault="00F16269" w:rsidP="00244816">
      <w:pPr>
        <w:pStyle w:val="Sinespaciado"/>
        <w:jc w:val="both"/>
        <w:rPr>
          <w:b/>
        </w:rPr>
      </w:pPr>
      <w:r w:rsidRPr="0049787B">
        <w:rPr>
          <w:b/>
        </w:rPr>
        <w:t>V.-</w:t>
      </w:r>
      <w:r w:rsidR="009E475F" w:rsidRPr="0049787B">
        <w:rPr>
          <w:b/>
        </w:rPr>
        <w:t xml:space="preserve"> </w:t>
      </w:r>
      <w:r w:rsidR="000F563E" w:rsidRPr="0049787B">
        <w:rPr>
          <w:b/>
        </w:rPr>
        <w:t>La  votación  obtenida  en  los  dictámenes  y  acuerdos  sometidos  al  Pleno  y demás órganos de trabajo, con expresión del sentido del voto de Diputados a favor, en contra y en abstención, referida con el nombre de quien lo haya emitido, salvo que sea votación secreta en términos de la Ley respectiva;</w:t>
      </w:r>
    </w:p>
    <w:p w:rsidR="005E16BE" w:rsidRPr="0049787B" w:rsidRDefault="005E16BE" w:rsidP="00244816">
      <w:pPr>
        <w:pStyle w:val="Sinespaciado"/>
        <w:jc w:val="both"/>
      </w:pPr>
    </w:p>
    <w:p w:rsidR="002D788F" w:rsidRPr="0049787B" w:rsidRDefault="002D788F" w:rsidP="00244816">
      <w:pPr>
        <w:pStyle w:val="Sinespaciado"/>
        <w:jc w:val="both"/>
      </w:pPr>
      <w:r w:rsidRPr="0049787B">
        <w:t>No se emiten recomendaciones respecto a esta fracción.</w:t>
      </w:r>
    </w:p>
    <w:p w:rsidR="00F16269" w:rsidRPr="0049787B" w:rsidRDefault="00F16269" w:rsidP="00244816">
      <w:pPr>
        <w:pStyle w:val="Sinespaciado"/>
        <w:jc w:val="both"/>
      </w:pPr>
    </w:p>
    <w:p w:rsidR="005E16BE" w:rsidRPr="0049787B" w:rsidRDefault="005E16BE" w:rsidP="00244816">
      <w:pPr>
        <w:pStyle w:val="Sinespaciado"/>
        <w:jc w:val="both"/>
      </w:pPr>
    </w:p>
    <w:p w:rsidR="00F16269" w:rsidRPr="0049787B" w:rsidRDefault="00F16269" w:rsidP="00244816">
      <w:pPr>
        <w:pStyle w:val="Sinespaciado"/>
        <w:jc w:val="both"/>
        <w:rPr>
          <w:b/>
        </w:rPr>
      </w:pPr>
      <w:r w:rsidRPr="0049787B">
        <w:rPr>
          <w:b/>
        </w:rPr>
        <w:t>VI.</w:t>
      </w:r>
      <w:r w:rsidR="000B4B11" w:rsidRPr="0049787B">
        <w:rPr>
          <w:b/>
        </w:rPr>
        <w:t>- El</w:t>
      </w:r>
      <w:r w:rsidR="000F563E" w:rsidRPr="0049787B">
        <w:rPr>
          <w:b/>
        </w:rPr>
        <w:t xml:space="preserve"> Diario de los Debates de la Legislatura y la Gaceta Parlamentaria;</w:t>
      </w:r>
    </w:p>
    <w:p w:rsidR="00A11502" w:rsidRPr="0049787B" w:rsidRDefault="00A11502" w:rsidP="00244816">
      <w:pPr>
        <w:pStyle w:val="Sinespaciado"/>
        <w:jc w:val="both"/>
      </w:pPr>
    </w:p>
    <w:p w:rsidR="002D788F" w:rsidRPr="0049787B" w:rsidRDefault="002D788F" w:rsidP="00244816">
      <w:pPr>
        <w:pStyle w:val="Sinespaciado"/>
        <w:jc w:val="both"/>
      </w:pPr>
      <w:r w:rsidRPr="0049787B">
        <w:t>No se emiten recomendaciones respecto a esta fracción.</w:t>
      </w:r>
    </w:p>
    <w:p w:rsidR="006014B1" w:rsidRPr="0049787B" w:rsidRDefault="006014B1" w:rsidP="00244816">
      <w:pPr>
        <w:pStyle w:val="Sinespaciado"/>
        <w:jc w:val="both"/>
      </w:pPr>
    </w:p>
    <w:p w:rsidR="00F16269" w:rsidRPr="0049787B" w:rsidRDefault="00F16269" w:rsidP="00244816">
      <w:pPr>
        <w:pStyle w:val="Sinespaciado"/>
        <w:jc w:val="both"/>
        <w:rPr>
          <w:b/>
        </w:rPr>
      </w:pPr>
      <w:r w:rsidRPr="0049787B">
        <w:rPr>
          <w:b/>
        </w:rPr>
        <w:lastRenderedPageBreak/>
        <w:t xml:space="preserve">VII.- </w:t>
      </w:r>
      <w:r w:rsidR="000F563E" w:rsidRPr="0049787B">
        <w:rPr>
          <w:b/>
        </w:rPr>
        <w:t xml:space="preserve">Los documentos presentados al Pleno conforme al orden del día de las sesiones  ordinarias  y  extraordinarias,  mismos  que  serán  clasificados  por  sesión  y deberán ser copia fiel  de su original,  debiendo publicarse en el portal dentro de las cuarenta y ocho horas siguientes a su presentación; </w:t>
      </w:r>
    </w:p>
    <w:p w:rsidR="005E16BE" w:rsidRPr="0049787B" w:rsidRDefault="005E16BE" w:rsidP="00244816">
      <w:pPr>
        <w:pStyle w:val="Sinespaciado"/>
        <w:jc w:val="both"/>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F16269" w:rsidRPr="0049787B" w:rsidRDefault="00F16269" w:rsidP="00244816">
      <w:pPr>
        <w:pStyle w:val="Sinespaciado"/>
        <w:jc w:val="both"/>
      </w:pPr>
    </w:p>
    <w:p w:rsidR="00F16269" w:rsidRPr="0049787B" w:rsidRDefault="00F16269" w:rsidP="00244816">
      <w:pPr>
        <w:pStyle w:val="Sinespaciado"/>
        <w:jc w:val="both"/>
        <w:rPr>
          <w:b/>
        </w:rPr>
      </w:pPr>
      <w:r w:rsidRPr="0049787B">
        <w:rPr>
          <w:b/>
        </w:rPr>
        <w:t>VIII.</w:t>
      </w:r>
      <w:r w:rsidR="000B4B11" w:rsidRPr="0049787B">
        <w:rPr>
          <w:b/>
        </w:rPr>
        <w:t>- Las</w:t>
      </w:r>
      <w:r w:rsidR="000F563E" w:rsidRPr="0049787B">
        <w:rPr>
          <w:b/>
        </w:rPr>
        <w:t xml:space="preserve"> actas de las sesiones, dictámenes y acuerdos del pleno;</w:t>
      </w:r>
    </w:p>
    <w:p w:rsidR="005E16BE" w:rsidRPr="0049787B" w:rsidRDefault="005E16BE" w:rsidP="00244816">
      <w:pPr>
        <w:pStyle w:val="Sinespaciado"/>
        <w:jc w:val="both"/>
      </w:pPr>
    </w:p>
    <w:p w:rsidR="00F16269" w:rsidRPr="0049787B" w:rsidRDefault="00F16269"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A11502" w:rsidRPr="0049787B" w:rsidRDefault="00A11502" w:rsidP="00244816">
      <w:pPr>
        <w:pStyle w:val="Sinespaciado"/>
        <w:jc w:val="both"/>
      </w:pPr>
    </w:p>
    <w:p w:rsidR="00F16269" w:rsidRPr="0049787B" w:rsidRDefault="00F16269" w:rsidP="00244816">
      <w:pPr>
        <w:pStyle w:val="Sinespaciado"/>
        <w:jc w:val="both"/>
        <w:rPr>
          <w:b/>
        </w:rPr>
      </w:pPr>
      <w:r w:rsidRPr="0049787B">
        <w:rPr>
          <w:b/>
        </w:rPr>
        <w:t>IX.-</w:t>
      </w:r>
      <w:r w:rsidR="000F563E" w:rsidRPr="0049787B">
        <w:rPr>
          <w:b/>
        </w:rPr>
        <w:t xml:space="preserve"> Los Informes del Órgano Superior de Fiscalización sobre la revisión de las cuentas públicas;</w:t>
      </w:r>
    </w:p>
    <w:p w:rsidR="00A11502" w:rsidRPr="0049787B" w:rsidRDefault="00A11502" w:rsidP="00244816">
      <w:pPr>
        <w:pStyle w:val="Sinespaciado"/>
        <w:jc w:val="both"/>
        <w:rPr>
          <w:b/>
        </w:rPr>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A11502" w:rsidRPr="0049787B" w:rsidRDefault="00A11502" w:rsidP="00244816">
      <w:pPr>
        <w:pStyle w:val="Sinespaciado"/>
        <w:jc w:val="both"/>
      </w:pPr>
    </w:p>
    <w:p w:rsidR="00F16269" w:rsidRPr="0049787B" w:rsidRDefault="00F16269" w:rsidP="00244816">
      <w:pPr>
        <w:pStyle w:val="Sinespaciado"/>
        <w:jc w:val="both"/>
        <w:rPr>
          <w:b/>
          <w:lang w:eastAsia="es-MX"/>
        </w:rPr>
      </w:pPr>
      <w:r w:rsidRPr="0049787B">
        <w:rPr>
          <w:b/>
          <w:lang w:eastAsia="es-MX"/>
        </w:rPr>
        <w:t>X.-</w:t>
      </w:r>
      <w:r w:rsidR="000F563E" w:rsidRPr="0049787B">
        <w:rPr>
          <w:b/>
          <w:lang w:eastAsia="es-MX"/>
        </w:rPr>
        <w:t xml:space="preserve"> La  información  relativa  a  la  estructura,  directorio  y  nombres,  así  como programas  de  trabajo,  resultados  de  desempeño  y  proyectos  realizados  por  los Institutos pertenecientes al Congreso del Estado; </w:t>
      </w:r>
    </w:p>
    <w:p w:rsidR="005E16BE" w:rsidRPr="0049787B" w:rsidRDefault="005E16BE" w:rsidP="00244816">
      <w:pPr>
        <w:pStyle w:val="Sinespaciado"/>
        <w:jc w:val="both"/>
        <w:rPr>
          <w:b/>
          <w:lang w:eastAsia="es-MX"/>
        </w:rPr>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5E16BE" w:rsidRPr="0049787B" w:rsidRDefault="005E16BE" w:rsidP="00244816">
      <w:pPr>
        <w:pStyle w:val="Sinespaciado"/>
        <w:jc w:val="both"/>
      </w:pPr>
    </w:p>
    <w:p w:rsidR="00F16269" w:rsidRPr="0049787B" w:rsidRDefault="00F16269" w:rsidP="00244816">
      <w:pPr>
        <w:pStyle w:val="Sinespaciado"/>
        <w:jc w:val="both"/>
        <w:rPr>
          <w:lang w:eastAsia="es-MX"/>
        </w:rPr>
      </w:pPr>
    </w:p>
    <w:p w:rsidR="00F16269" w:rsidRPr="0049787B" w:rsidRDefault="00F16269" w:rsidP="00244816">
      <w:pPr>
        <w:pStyle w:val="Sinespaciado"/>
        <w:jc w:val="both"/>
        <w:rPr>
          <w:b/>
          <w:lang w:eastAsia="es-MX"/>
        </w:rPr>
      </w:pPr>
      <w:r w:rsidRPr="0049787B">
        <w:rPr>
          <w:b/>
          <w:lang w:eastAsia="es-MX"/>
        </w:rPr>
        <w:t xml:space="preserve">XI.- </w:t>
      </w:r>
      <w:r w:rsidR="000B4B11" w:rsidRPr="0049787B">
        <w:rPr>
          <w:b/>
          <w:lang w:eastAsia="es-MX"/>
        </w:rPr>
        <w:t>Las resoluciones definitivas</w:t>
      </w:r>
      <w:r w:rsidR="000F563E" w:rsidRPr="0049787B">
        <w:rPr>
          <w:b/>
          <w:lang w:eastAsia="es-MX"/>
        </w:rPr>
        <w:t xml:space="preserve">  sobre  juicios  políticos  y  de  declaratorias  de procedencia penal, una vez que hayan causado estado; </w:t>
      </w:r>
    </w:p>
    <w:p w:rsidR="005E16BE" w:rsidRPr="0049787B" w:rsidRDefault="005E16BE" w:rsidP="00244816">
      <w:pPr>
        <w:pStyle w:val="Sinespaciado"/>
        <w:jc w:val="both"/>
        <w:rPr>
          <w:b/>
          <w:lang w:eastAsia="es-MX"/>
        </w:rPr>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F16269" w:rsidRPr="0049787B" w:rsidRDefault="00F16269" w:rsidP="00244816">
      <w:pPr>
        <w:pStyle w:val="Sinespaciado"/>
        <w:jc w:val="both"/>
        <w:rPr>
          <w:lang w:eastAsia="es-MX"/>
        </w:rPr>
      </w:pPr>
    </w:p>
    <w:p w:rsidR="00F16269" w:rsidRPr="0049787B" w:rsidRDefault="00F16269" w:rsidP="00244816">
      <w:pPr>
        <w:pStyle w:val="Sinespaciado"/>
        <w:jc w:val="both"/>
        <w:rPr>
          <w:b/>
          <w:lang w:eastAsia="es-MX"/>
        </w:rPr>
      </w:pPr>
      <w:r w:rsidRPr="0049787B">
        <w:rPr>
          <w:b/>
          <w:lang w:eastAsia="es-MX"/>
        </w:rPr>
        <w:t xml:space="preserve">XII.- </w:t>
      </w:r>
      <w:r w:rsidR="000F563E" w:rsidRPr="0049787B">
        <w:rPr>
          <w:b/>
          <w:lang w:eastAsia="es-MX"/>
        </w:rPr>
        <w:t xml:space="preserve">Las dietas de los legisladores y las partidas presupuestales asignadas a los  Grupos  </w:t>
      </w:r>
      <w:r w:rsidR="00244816" w:rsidRPr="0049787B">
        <w:rPr>
          <w:b/>
          <w:lang w:eastAsia="es-MX"/>
        </w:rPr>
        <w:t>p</w:t>
      </w:r>
      <w:r w:rsidR="000F563E" w:rsidRPr="0049787B">
        <w:rPr>
          <w:b/>
          <w:lang w:eastAsia="es-MX"/>
        </w:rPr>
        <w:t>arlamentarios,  las  Comisiones  o  Comités,  la  Mesa  Directiva  y  demás órganos del Congreso, así como los responsables de ejercerlas.</w:t>
      </w:r>
    </w:p>
    <w:p w:rsidR="005E16BE" w:rsidRPr="0049787B" w:rsidRDefault="005E16BE" w:rsidP="00244816">
      <w:pPr>
        <w:pStyle w:val="Sinespaciado"/>
        <w:jc w:val="both"/>
        <w:rPr>
          <w:lang w:eastAsia="es-MX"/>
        </w:rPr>
      </w:pPr>
    </w:p>
    <w:p w:rsidR="002D788F" w:rsidRPr="0049787B" w:rsidRDefault="002D788F"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F16269" w:rsidRPr="0049787B" w:rsidRDefault="00F16269" w:rsidP="00244816">
      <w:pPr>
        <w:pStyle w:val="Sinespaciado"/>
        <w:jc w:val="both"/>
        <w:rPr>
          <w:lang w:eastAsia="es-MX"/>
        </w:rPr>
      </w:pPr>
    </w:p>
    <w:p w:rsidR="00F16269" w:rsidRPr="0049787B" w:rsidRDefault="00F16269" w:rsidP="00244816">
      <w:pPr>
        <w:pStyle w:val="Sinespaciado"/>
        <w:jc w:val="both"/>
        <w:rPr>
          <w:b/>
          <w:lang w:eastAsia="es-MX"/>
        </w:rPr>
      </w:pPr>
      <w:r w:rsidRPr="0049787B">
        <w:rPr>
          <w:b/>
          <w:lang w:eastAsia="es-MX"/>
        </w:rPr>
        <w:t xml:space="preserve">XIII.- </w:t>
      </w:r>
      <w:r w:rsidR="000F563E" w:rsidRPr="0049787B">
        <w:rPr>
          <w:b/>
          <w:lang w:eastAsia="es-MX"/>
        </w:rPr>
        <w:t xml:space="preserve">Programas, metas y objetivos de los órganos de apoyo parlamentario y administrativo; </w:t>
      </w:r>
    </w:p>
    <w:p w:rsidR="005E16BE" w:rsidRPr="0049787B" w:rsidRDefault="005E16BE" w:rsidP="00244816">
      <w:pPr>
        <w:pStyle w:val="Sinespaciado"/>
        <w:jc w:val="both"/>
        <w:rPr>
          <w:lang w:eastAsia="es-MX"/>
        </w:rPr>
      </w:pPr>
    </w:p>
    <w:p w:rsidR="00F16269" w:rsidRPr="0049787B" w:rsidRDefault="00F16269" w:rsidP="00244816">
      <w:pPr>
        <w:pStyle w:val="Sinespaciado"/>
        <w:jc w:val="both"/>
      </w:pPr>
      <w:r w:rsidRPr="0049787B">
        <w:t>No se emiten recomendaciones respecto a esta fracción.</w:t>
      </w:r>
    </w:p>
    <w:p w:rsidR="005E16BE" w:rsidRPr="0049787B" w:rsidRDefault="005E16BE" w:rsidP="00244816">
      <w:pPr>
        <w:pStyle w:val="Sinespaciado"/>
        <w:jc w:val="both"/>
      </w:pPr>
    </w:p>
    <w:p w:rsidR="00F16269" w:rsidRPr="0049787B" w:rsidRDefault="00F16269" w:rsidP="00244816">
      <w:pPr>
        <w:pStyle w:val="Sinespaciado"/>
        <w:jc w:val="both"/>
        <w:rPr>
          <w:lang w:eastAsia="es-MX"/>
        </w:rPr>
      </w:pPr>
    </w:p>
    <w:p w:rsidR="00F16269" w:rsidRPr="0049787B" w:rsidRDefault="00F16269" w:rsidP="00244816">
      <w:pPr>
        <w:pStyle w:val="Sinespaciado"/>
        <w:jc w:val="both"/>
        <w:rPr>
          <w:b/>
          <w:lang w:eastAsia="es-MX"/>
        </w:rPr>
      </w:pPr>
      <w:r w:rsidRPr="0049787B">
        <w:rPr>
          <w:b/>
          <w:lang w:eastAsia="es-MX"/>
        </w:rPr>
        <w:lastRenderedPageBreak/>
        <w:t xml:space="preserve">XIV.- </w:t>
      </w:r>
      <w:r w:rsidR="000F563E" w:rsidRPr="0049787B">
        <w:rPr>
          <w:b/>
          <w:lang w:eastAsia="es-MX"/>
        </w:rPr>
        <w:t xml:space="preserve">Viajes en comisiones oficiales de Diputados y titulares de los órganos de apoyo parlamentario y  administrativo así como de Directivos y demás personal de los Institutos del Congreso del Estado; </w:t>
      </w:r>
    </w:p>
    <w:p w:rsidR="005E16BE" w:rsidRPr="0049787B" w:rsidRDefault="005E16BE" w:rsidP="00244816">
      <w:pPr>
        <w:pStyle w:val="Sinespaciado"/>
        <w:jc w:val="both"/>
        <w:rPr>
          <w:lang w:eastAsia="es-MX"/>
        </w:rPr>
      </w:pPr>
    </w:p>
    <w:p w:rsidR="00F16269" w:rsidRPr="0049787B" w:rsidRDefault="00F16269" w:rsidP="00244816">
      <w:pPr>
        <w:pStyle w:val="Sinespaciado"/>
        <w:jc w:val="both"/>
      </w:pPr>
      <w:r w:rsidRPr="0049787B">
        <w:t>No se emiten recomendaciones respecto a esta fracción.</w:t>
      </w:r>
    </w:p>
    <w:p w:rsidR="00F16269" w:rsidRPr="0049787B" w:rsidRDefault="00F16269" w:rsidP="00244816">
      <w:pPr>
        <w:pStyle w:val="Sinespaciado"/>
        <w:jc w:val="both"/>
        <w:rPr>
          <w:lang w:eastAsia="es-MX"/>
        </w:rPr>
      </w:pPr>
    </w:p>
    <w:p w:rsidR="00A11502" w:rsidRPr="0049787B" w:rsidRDefault="00A11502" w:rsidP="00244816">
      <w:pPr>
        <w:pStyle w:val="Sinespaciado"/>
        <w:jc w:val="both"/>
        <w:rPr>
          <w:lang w:eastAsia="es-MX"/>
        </w:rPr>
      </w:pPr>
    </w:p>
    <w:p w:rsidR="008B5232" w:rsidRPr="0049787B" w:rsidRDefault="000F563E" w:rsidP="00244816">
      <w:pPr>
        <w:pStyle w:val="Sinespaciado"/>
        <w:jc w:val="both"/>
        <w:rPr>
          <w:b/>
          <w:lang w:eastAsia="es-MX"/>
        </w:rPr>
      </w:pPr>
      <w:r w:rsidRPr="0049787B">
        <w:rPr>
          <w:b/>
          <w:lang w:eastAsia="es-MX"/>
        </w:rPr>
        <w:t>XV.- Los demás informes que deban presentarse conforme a su Ley Orgánica.</w:t>
      </w:r>
    </w:p>
    <w:p w:rsidR="005E16BE" w:rsidRPr="0049787B" w:rsidRDefault="005E16BE" w:rsidP="00244816">
      <w:pPr>
        <w:pStyle w:val="Sinespaciado"/>
        <w:jc w:val="both"/>
        <w:rPr>
          <w:lang w:eastAsia="es-MX"/>
        </w:rPr>
      </w:pPr>
    </w:p>
    <w:p w:rsidR="00A13B33" w:rsidRPr="0049787B" w:rsidRDefault="00A13B33" w:rsidP="00244816">
      <w:pPr>
        <w:pStyle w:val="Sinespaciado"/>
        <w:jc w:val="both"/>
      </w:pPr>
      <w:r w:rsidRPr="0049787B">
        <w:t>No se emiten recomendaciones respecto a esta fracción.</w:t>
      </w:r>
    </w:p>
    <w:p w:rsidR="008B5232" w:rsidRPr="0049787B" w:rsidRDefault="008B5232" w:rsidP="00244816">
      <w:pPr>
        <w:pStyle w:val="Sinespaciado"/>
        <w:jc w:val="both"/>
        <w:rPr>
          <w:lang w:eastAsia="es-MX"/>
        </w:rPr>
      </w:pPr>
    </w:p>
    <w:p w:rsidR="008B5232" w:rsidRPr="0049787B" w:rsidRDefault="008B5232" w:rsidP="00A11502">
      <w:pPr>
        <w:pStyle w:val="Sinespaciado"/>
        <w:rPr>
          <w:lang w:eastAsia="es-MX"/>
        </w:rPr>
      </w:pPr>
    </w:p>
    <w:p w:rsidR="008B5232" w:rsidRPr="0049787B" w:rsidRDefault="008B5232" w:rsidP="00A11502">
      <w:pPr>
        <w:pStyle w:val="Sinespaciado"/>
        <w:rPr>
          <w:lang w:eastAsia="es-MX"/>
        </w:rPr>
      </w:pPr>
    </w:p>
    <w:p w:rsidR="008B5232" w:rsidRPr="0049787B" w:rsidRDefault="008B5232" w:rsidP="00A11502">
      <w:pPr>
        <w:autoSpaceDE w:val="0"/>
        <w:autoSpaceDN w:val="0"/>
        <w:adjustRightInd w:val="0"/>
        <w:spacing w:after="0" w:line="240" w:lineRule="auto"/>
        <w:jc w:val="both"/>
        <w:rPr>
          <w:rFonts w:asciiTheme="minorHAnsi" w:hAnsiTheme="minorHAnsi"/>
          <w:lang w:eastAsia="es-MX"/>
        </w:rPr>
      </w:pPr>
    </w:p>
    <w:p w:rsidR="008B5232" w:rsidRPr="0049787B" w:rsidRDefault="008B5232" w:rsidP="00A11502">
      <w:pPr>
        <w:autoSpaceDE w:val="0"/>
        <w:autoSpaceDN w:val="0"/>
        <w:adjustRightInd w:val="0"/>
        <w:spacing w:after="0" w:line="240" w:lineRule="auto"/>
        <w:jc w:val="both"/>
        <w:rPr>
          <w:rFonts w:asciiTheme="minorHAnsi" w:hAnsiTheme="minorHAnsi"/>
          <w:lang w:eastAsia="es-MX"/>
        </w:rPr>
      </w:pPr>
    </w:p>
    <w:p w:rsidR="008B5232" w:rsidRPr="0049787B" w:rsidRDefault="008B5232" w:rsidP="00A11502">
      <w:pPr>
        <w:autoSpaceDE w:val="0"/>
        <w:autoSpaceDN w:val="0"/>
        <w:adjustRightInd w:val="0"/>
        <w:spacing w:after="0" w:line="240" w:lineRule="auto"/>
        <w:jc w:val="both"/>
        <w:rPr>
          <w:rFonts w:asciiTheme="minorHAnsi" w:hAnsiTheme="minorHAnsi"/>
          <w:lang w:eastAsia="es-MX"/>
        </w:rPr>
      </w:pPr>
    </w:p>
    <w:p w:rsidR="00C3337A" w:rsidRPr="0049787B" w:rsidRDefault="00C3337A" w:rsidP="00A11502">
      <w:pPr>
        <w:jc w:val="both"/>
        <w:rPr>
          <w:rFonts w:asciiTheme="minorHAnsi" w:hAnsiTheme="minorHAnsi"/>
          <w:b/>
          <w:lang w:eastAsia="es-MX"/>
        </w:rPr>
      </w:pPr>
      <w:r w:rsidRPr="0049787B">
        <w:rPr>
          <w:rFonts w:asciiTheme="minorHAnsi" w:hAnsiTheme="minorHAnsi"/>
          <w:b/>
          <w:lang w:eastAsia="es-MX"/>
        </w:rPr>
        <w:t>RECOMENDACIONES GENERALES</w:t>
      </w:r>
    </w:p>
    <w:p w:rsidR="00C3337A" w:rsidRPr="0049787B" w:rsidRDefault="00C3337A" w:rsidP="00A11502">
      <w:pPr>
        <w:jc w:val="both"/>
        <w:rPr>
          <w:rFonts w:asciiTheme="minorHAnsi" w:hAnsiTheme="minorHAnsi"/>
          <w:lang w:eastAsia="es-MX"/>
        </w:rPr>
      </w:pPr>
      <w:r w:rsidRPr="0049787B">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C3337A" w:rsidRPr="0049787B" w:rsidRDefault="00C3337A" w:rsidP="00A11502">
      <w:pPr>
        <w:pStyle w:val="Prrafodelista"/>
        <w:numPr>
          <w:ilvl w:val="0"/>
          <w:numId w:val="9"/>
        </w:numPr>
        <w:jc w:val="both"/>
        <w:rPr>
          <w:rFonts w:asciiTheme="minorHAnsi" w:hAnsiTheme="minorHAnsi" w:cstheme="minorHAnsi"/>
        </w:rPr>
      </w:pPr>
      <w:r w:rsidRPr="0049787B">
        <w:rPr>
          <w:rFonts w:asciiTheme="minorHAnsi" w:hAnsiTheme="minorHAnsi" w:cstheme="minorHAnsi"/>
        </w:rPr>
        <w:t xml:space="preserve">Se recomienda </w:t>
      </w:r>
      <w:r w:rsidR="00ED2774" w:rsidRPr="0049787B">
        <w:rPr>
          <w:rFonts w:asciiTheme="minorHAnsi" w:hAnsiTheme="minorHAnsi" w:cstheme="minorHAnsi"/>
        </w:rPr>
        <w:t>publicar en la página principal del portal de Obligaciones de Transparencia información relacionada al Titular de la Unidad de Transparencia o el servidor público encargado de su administración o actualización, de tal manera que las personas que consulten el portal estén en posibilidad de contactarlos en caso de que requieran asesoría sobre los procedimientos de acceso o bien, que deseen informar sobres fallas técnicas en los portales</w:t>
      </w:r>
      <w:r w:rsidRPr="0049787B">
        <w:rPr>
          <w:rFonts w:asciiTheme="minorHAnsi" w:hAnsiTheme="minorHAnsi" w:cstheme="minorHAnsi"/>
        </w:rPr>
        <w:t xml:space="preserve">. </w:t>
      </w:r>
      <w:r w:rsidR="00BA1483" w:rsidRPr="0049787B">
        <w:rPr>
          <w:rFonts w:asciiTheme="minorHAnsi" w:hAnsiTheme="minorHAnsi" w:cstheme="minorHAnsi"/>
          <w:b/>
        </w:rPr>
        <w:t>NO ATENDIDA</w:t>
      </w:r>
    </w:p>
    <w:p w:rsidR="00F3532C" w:rsidRPr="0049787B" w:rsidRDefault="00F3532C" w:rsidP="00A11502">
      <w:pPr>
        <w:pStyle w:val="Prrafodelista"/>
        <w:numPr>
          <w:ilvl w:val="0"/>
          <w:numId w:val="9"/>
        </w:numPr>
        <w:jc w:val="both"/>
        <w:rPr>
          <w:rFonts w:asciiTheme="minorHAnsi" w:hAnsiTheme="minorHAnsi" w:cstheme="minorHAnsi"/>
          <w:b/>
        </w:rPr>
      </w:pPr>
      <w:r w:rsidRPr="0049787B">
        <w:rPr>
          <w:rFonts w:asciiTheme="minorHAnsi" w:hAnsiTheme="minorHAnsi" w:cstheme="minorHAnsi"/>
        </w:rPr>
        <w:t>Mejorar en la medida de lo posible el tiempo de respuesta del servidor en que se encuentra alojada la información pública de oficio.</w:t>
      </w:r>
      <w:r w:rsidR="00BA1483" w:rsidRPr="0049787B">
        <w:rPr>
          <w:rFonts w:asciiTheme="minorHAnsi" w:hAnsiTheme="minorHAnsi" w:cstheme="minorHAnsi"/>
          <w:b/>
        </w:rPr>
        <w:t xml:space="preserve"> ATENDIDA</w:t>
      </w:r>
    </w:p>
    <w:p w:rsidR="00A11502" w:rsidRPr="0049787B" w:rsidRDefault="00A11502" w:rsidP="00A11502">
      <w:pPr>
        <w:jc w:val="both"/>
        <w:rPr>
          <w:rFonts w:asciiTheme="minorHAnsi" w:hAnsiTheme="minorHAnsi" w:cstheme="minorHAnsi"/>
          <w:b/>
        </w:rPr>
      </w:pPr>
    </w:p>
    <w:p w:rsidR="00F16269" w:rsidRPr="0049787B" w:rsidRDefault="00F16269" w:rsidP="00A11502">
      <w:pPr>
        <w:jc w:val="center"/>
        <w:rPr>
          <w:rFonts w:asciiTheme="minorHAnsi" w:hAnsiTheme="minorHAnsi" w:cstheme="minorHAnsi"/>
          <w:b/>
        </w:rPr>
      </w:pPr>
      <w:r w:rsidRPr="0049787B">
        <w:rPr>
          <w:rFonts w:asciiTheme="minorHAnsi" w:hAnsiTheme="minorHAnsi" w:cstheme="minorHAnsi"/>
          <w:b/>
        </w:rPr>
        <w:t xml:space="preserve">TOTAL DE RECOMENDACIONES EMITIDAS: </w:t>
      </w:r>
      <w:r w:rsidR="00A11502" w:rsidRPr="0049787B">
        <w:rPr>
          <w:rFonts w:asciiTheme="minorHAnsi" w:hAnsiTheme="minorHAnsi" w:cstheme="minorHAnsi"/>
          <w:b/>
        </w:rPr>
        <w:t>32</w:t>
      </w:r>
    </w:p>
    <w:p w:rsidR="004917C9" w:rsidRPr="0049787B" w:rsidRDefault="004917C9" w:rsidP="00A11502">
      <w:pPr>
        <w:jc w:val="center"/>
        <w:rPr>
          <w:rFonts w:asciiTheme="minorHAnsi" w:hAnsiTheme="minorHAnsi" w:cstheme="minorHAnsi"/>
          <w:b/>
        </w:rPr>
      </w:pPr>
      <w:r w:rsidRPr="0049787B">
        <w:rPr>
          <w:rFonts w:asciiTheme="minorHAnsi" w:hAnsiTheme="minorHAnsi" w:cstheme="minorHAnsi"/>
          <w:b/>
        </w:rPr>
        <w:t xml:space="preserve">TOTAL DE RECOMENDACIONES ATENDIDAS: </w:t>
      </w:r>
      <w:r w:rsidR="00FF25FC" w:rsidRPr="0049787B">
        <w:rPr>
          <w:rFonts w:asciiTheme="minorHAnsi" w:hAnsiTheme="minorHAnsi" w:cstheme="minorHAnsi"/>
          <w:b/>
        </w:rPr>
        <w:t>8</w:t>
      </w:r>
    </w:p>
    <w:p w:rsidR="004917C9" w:rsidRPr="0049787B" w:rsidRDefault="004917C9" w:rsidP="00A11502">
      <w:pPr>
        <w:jc w:val="center"/>
        <w:rPr>
          <w:rFonts w:asciiTheme="minorHAnsi" w:hAnsiTheme="minorHAnsi" w:cstheme="minorHAnsi"/>
          <w:b/>
        </w:rPr>
      </w:pPr>
      <w:r w:rsidRPr="0049787B">
        <w:rPr>
          <w:rFonts w:asciiTheme="minorHAnsi" w:hAnsiTheme="minorHAnsi" w:cstheme="minorHAnsi"/>
          <w:b/>
        </w:rPr>
        <w:t xml:space="preserve">TOTAL DE RECOMENDACIONES NO ATENDIDAS: </w:t>
      </w:r>
      <w:r w:rsidR="00FF25FC" w:rsidRPr="0049787B">
        <w:rPr>
          <w:rFonts w:asciiTheme="minorHAnsi" w:hAnsiTheme="minorHAnsi" w:cstheme="minorHAnsi"/>
          <w:b/>
        </w:rPr>
        <w:t>24</w:t>
      </w:r>
    </w:p>
    <w:p w:rsidR="004917C9" w:rsidRPr="0049787B" w:rsidRDefault="004917C9" w:rsidP="00A11502">
      <w:pPr>
        <w:jc w:val="center"/>
        <w:rPr>
          <w:rFonts w:asciiTheme="minorHAnsi" w:hAnsiTheme="minorHAnsi" w:cstheme="minorHAnsi"/>
          <w:b/>
        </w:rPr>
      </w:pPr>
    </w:p>
    <w:sectPr w:rsidR="004917C9" w:rsidRPr="0049787B" w:rsidSect="007F3D88">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67" w:rsidRDefault="005D2C67" w:rsidP="004477A7">
      <w:pPr>
        <w:spacing w:after="0" w:line="240" w:lineRule="auto"/>
      </w:pPr>
      <w:r>
        <w:separator/>
      </w:r>
    </w:p>
  </w:endnote>
  <w:endnote w:type="continuationSeparator" w:id="0">
    <w:p w:rsidR="005D2C67" w:rsidRDefault="005D2C67" w:rsidP="0044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7F3D88" w:rsidRPr="00FA4360" w:rsidTr="007F3D88">
      <w:tc>
        <w:tcPr>
          <w:tcW w:w="9180" w:type="dxa"/>
        </w:tcPr>
        <w:p w:rsidR="007F3D88" w:rsidRPr="00571AF4" w:rsidRDefault="007F3D88" w:rsidP="007F3D8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7F3D88" w:rsidRDefault="007F3D88" w:rsidP="007F3D88">
          <w:pPr>
            <w:pStyle w:val="Sinespaciado"/>
            <w:jc w:val="right"/>
            <w:rPr>
              <w:rFonts w:asciiTheme="majorHAnsi" w:hAnsiTheme="majorHAnsi"/>
              <w:b/>
              <w:sz w:val="16"/>
            </w:rPr>
          </w:pPr>
          <w:r>
            <w:rPr>
              <w:rFonts w:asciiTheme="majorHAnsi" w:hAnsiTheme="majorHAnsi"/>
              <w:b/>
              <w:sz w:val="16"/>
            </w:rPr>
            <w:t>Coordinación de Evaluación y Seguimiento</w:t>
          </w:r>
        </w:p>
        <w:p w:rsidR="007F3D88" w:rsidRPr="00571AF4" w:rsidRDefault="007F3D88" w:rsidP="007F3D8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Pr>
              <w:rFonts w:asciiTheme="majorHAnsi" w:hAnsiTheme="majorHAnsi"/>
              <w:sz w:val="16"/>
            </w:rPr>
            <w:t xml:space="preserve"> </w:t>
          </w:r>
          <w:r w:rsidR="00795743">
            <w:rPr>
              <w:rFonts w:asciiTheme="majorHAnsi" w:hAnsiTheme="majorHAnsi"/>
              <w:sz w:val="16"/>
            </w:rPr>
            <w:t>28 de agosto d</w:t>
          </w:r>
          <w:r w:rsidRPr="00571AF4">
            <w:rPr>
              <w:rFonts w:asciiTheme="majorHAnsi" w:hAnsiTheme="majorHAnsi"/>
              <w:sz w:val="16"/>
            </w:rPr>
            <w:t>e 201</w:t>
          </w:r>
          <w:r>
            <w:rPr>
              <w:rFonts w:asciiTheme="majorHAnsi" w:hAnsiTheme="majorHAnsi"/>
              <w:sz w:val="16"/>
            </w:rPr>
            <w:t>4</w:t>
          </w:r>
        </w:p>
        <w:p w:rsidR="007F3D88" w:rsidRPr="00FA4360" w:rsidRDefault="007F3D88" w:rsidP="007F3D88">
          <w:pPr>
            <w:pStyle w:val="Sinespaciado"/>
            <w:tabs>
              <w:tab w:val="left" w:pos="1741"/>
            </w:tabs>
            <w:jc w:val="right"/>
            <w:rPr>
              <w:rFonts w:asciiTheme="majorHAnsi" w:hAnsiTheme="majorHAnsi"/>
              <w:sz w:val="20"/>
            </w:rPr>
          </w:pPr>
        </w:p>
        <w:p w:rsidR="007F3D88" w:rsidRPr="00FA4360" w:rsidRDefault="007F3D88" w:rsidP="007F3D88">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7F3D88" w:rsidRPr="00E224B8" w:rsidRDefault="007F3D88" w:rsidP="007F3D88">
          <w:pPr>
            <w:pStyle w:val="Piedepgina"/>
            <w:rPr>
              <w:rFonts w:asciiTheme="majorHAnsi" w:hAnsiTheme="majorHAnsi"/>
              <w:b/>
              <w:sz w:val="18"/>
              <w:szCs w:val="18"/>
            </w:rPr>
          </w:pPr>
        </w:p>
        <w:p w:rsidR="007F3D88" w:rsidRPr="00E224B8" w:rsidRDefault="00711FC2" w:rsidP="008B3867">
          <w:pPr>
            <w:pStyle w:val="Piedepgina"/>
            <w:rPr>
              <w:rFonts w:asciiTheme="majorHAnsi" w:hAnsiTheme="majorHAnsi"/>
              <w:b/>
              <w:sz w:val="18"/>
              <w:szCs w:val="18"/>
            </w:rPr>
          </w:pPr>
          <w:r w:rsidRPr="00E224B8">
            <w:rPr>
              <w:rFonts w:asciiTheme="majorHAnsi" w:hAnsiTheme="majorHAnsi"/>
              <w:b/>
              <w:sz w:val="18"/>
              <w:szCs w:val="18"/>
            </w:rPr>
            <w:fldChar w:fldCharType="begin"/>
          </w:r>
          <w:r w:rsidR="007F3D88"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49787B">
            <w:rPr>
              <w:rFonts w:asciiTheme="majorHAnsi" w:hAnsiTheme="majorHAnsi"/>
              <w:b/>
              <w:noProof/>
              <w:sz w:val="18"/>
              <w:szCs w:val="18"/>
            </w:rPr>
            <w:t>9</w:t>
          </w:r>
          <w:r w:rsidRPr="00E224B8">
            <w:rPr>
              <w:rFonts w:asciiTheme="majorHAnsi" w:hAnsiTheme="majorHAnsi"/>
              <w:b/>
              <w:noProof/>
              <w:sz w:val="18"/>
              <w:szCs w:val="18"/>
            </w:rPr>
            <w:fldChar w:fldCharType="end"/>
          </w:r>
          <w:r w:rsidR="007F3D88">
            <w:rPr>
              <w:rFonts w:asciiTheme="majorHAnsi" w:hAnsiTheme="majorHAnsi"/>
              <w:b/>
              <w:noProof/>
              <w:sz w:val="18"/>
              <w:szCs w:val="18"/>
            </w:rPr>
            <w:t xml:space="preserve"> de </w:t>
          </w:r>
          <w:r w:rsidR="008B3867">
            <w:rPr>
              <w:rFonts w:asciiTheme="majorHAnsi" w:hAnsiTheme="majorHAnsi"/>
              <w:b/>
              <w:noProof/>
              <w:sz w:val="18"/>
              <w:szCs w:val="18"/>
            </w:rPr>
            <w:t>9</w:t>
          </w:r>
        </w:p>
      </w:tc>
    </w:tr>
  </w:tbl>
  <w:p w:rsidR="007F3D88" w:rsidRPr="00A64416" w:rsidRDefault="007F3D88" w:rsidP="007F3D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67" w:rsidRDefault="005D2C67" w:rsidP="004477A7">
      <w:pPr>
        <w:spacing w:after="0" w:line="240" w:lineRule="auto"/>
      </w:pPr>
      <w:r>
        <w:separator/>
      </w:r>
    </w:p>
  </w:footnote>
  <w:footnote w:type="continuationSeparator" w:id="0">
    <w:p w:rsidR="005D2C67" w:rsidRDefault="005D2C67" w:rsidP="0044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7F3D88" w:rsidRPr="00625444" w:rsidTr="007F3D88">
      <w:trPr>
        <w:trHeight w:val="1492"/>
      </w:trPr>
      <w:tc>
        <w:tcPr>
          <w:tcW w:w="8552" w:type="dxa"/>
          <w:tcBorders>
            <w:bottom w:val="single" w:sz="18" w:space="0" w:color="808080"/>
          </w:tcBorders>
        </w:tcPr>
        <w:p w:rsidR="007F3D88" w:rsidRDefault="007F3D88" w:rsidP="007F3D88">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7F3D88" w:rsidRDefault="007F3D88" w:rsidP="007F3D88">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2"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7F3D88" w:rsidRDefault="007F3D88" w:rsidP="007F3D88">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3"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7F3D88" w:rsidRDefault="007F3D88">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6"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5FC"/>
    <w:multiLevelType w:val="hybridMultilevel"/>
    <w:tmpl w:val="B066D586"/>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3B32B80"/>
    <w:multiLevelType w:val="hybridMultilevel"/>
    <w:tmpl w:val="108887CE"/>
    <w:lvl w:ilvl="0" w:tplc="04090011">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8C4E4F"/>
    <w:multiLevelType w:val="hybridMultilevel"/>
    <w:tmpl w:val="1E2CDEF0"/>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6A76206"/>
    <w:multiLevelType w:val="hybridMultilevel"/>
    <w:tmpl w:val="54AA6870"/>
    <w:lvl w:ilvl="0" w:tplc="1E7036B2">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96C2FBD"/>
    <w:multiLevelType w:val="hybridMultilevel"/>
    <w:tmpl w:val="97620B9A"/>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A5F1EEF"/>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0B277774"/>
    <w:multiLevelType w:val="hybridMultilevel"/>
    <w:tmpl w:val="7E92310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0E3A7F61"/>
    <w:multiLevelType w:val="hybridMultilevel"/>
    <w:tmpl w:val="0BE001FE"/>
    <w:lvl w:ilvl="0" w:tplc="EAB60E1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81C1938"/>
    <w:multiLevelType w:val="hybridMultilevel"/>
    <w:tmpl w:val="7E92310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A810DAD"/>
    <w:multiLevelType w:val="hybridMultilevel"/>
    <w:tmpl w:val="8E0A9490"/>
    <w:lvl w:ilvl="0" w:tplc="04090011">
      <w:start w:val="1"/>
      <w:numFmt w:val="decimal"/>
      <w:lvlText w:val="%1)"/>
      <w:lvlJc w:val="left"/>
      <w:pPr>
        <w:ind w:left="1070"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29564E3"/>
    <w:multiLevelType w:val="hybridMultilevel"/>
    <w:tmpl w:val="56B029A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3F82D13"/>
    <w:multiLevelType w:val="hybridMultilevel"/>
    <w:tmpl w:val="D3E0B5F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2A48AB"/>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27AA4C89"/>
    <w:multiLevelType w:val="hybridMultilevel"/>
    <w:tmpl w:val="D42C450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2A4A0F47"/>
    <w:multiLevelType w:val="hybridMultilevel"/>
    <w:tmpl w:val="A776D2C8"/>
    <w:lvl w:ilvl="0" w:tplc="04090011">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2C4B66D9"/>
    <w:multiLevelType w:val="hybridMultilevel"/>
    <w:tmpl w:val="56BA85EA"/>
    <w:lvl w:ilvl="0" w:tplc="3576673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1D16D70"/>
    <w:multiLevelType w:val="hybridMultilevel"/>
    <w:tmpl w:val="E0362736"/>
    <w:lvl w:ilvl="0" w:tplc="92986D30">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2D0CFF"/>
    <w:multiLevelType w:val="hybridMultilevel"/>
    <w:tmpl w:val="56BA85EA"/>
    <w:lvl w:ilvl="0" w:tplc="3576673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F1A7862"/>
    <w:multiLevelType w:val="hybridMultilevel"/>
    <w:tmpl w:val="66809912"/>
    <w:lvl w:ilvl="0" w:tplc="2F0AEB8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0AA779D"/>
    <w:multiLevelType w:val="hybridMultilevel"/>
    <w:tmpl w:val="4B0C8D1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14839CF"/>
    <w:multiLevelType w:val="hybridMultilevel"/>
    <w:tmpl w:val="2CA2B1F2"/>
    <w:lvl w:ilvl="0" w:tplc="2BC2015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6447247"/>
    <w:multiLevelType w:val="hybridMultilevel"/>
    <w:tmpl w:val="CD5823A2"/>
    <w:lvl w:ilvl="0" w:tplc="04090011">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nsid w:val="492D105E"/>
    <w:multiLevelType w:val="hybridMultilevel"/>
    <w:tmpl w:val="7E92310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E060B4A"/>
    <w:multiLevelType w:val="hybridMultilevel"/>
    <w:tmpl w:val="445CD9A4"/>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4F8E32CA"/>
    <w:multiLevelType w:val="hybridMultilevel"/>
    <w:tmpl w:val="62BAE04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1463F10"/>
    <w:multiLevelType w:val="hybridMultilevel"/>
    <w:tmpl w:val="7E92310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3DC64C7"/>
    <w:multiLevelType w:val="hybridMultilevel"/>
    <w:tmpl w:val="D260685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EA712A"/>
    <w:multiLevelType w:val="hybridMultilevel"/>
    <w:tmpl w:val="47423C38"/>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5D3B63EB"/>
    <w:multiLevelType w:val="hybridMultilevel"/>
    <w:tmpl w:val="AD3ED2B4"/>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E8909B3"/>
    <w:multiLevelType w:val="hybridMultilevel"/>
    <w:tmpl w:val="FFFC20EA"/>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4F2762"/>
    <w:multiLevelType w:val="hybridMultilevel"/>
    <w:tmpl w:val="28FC9DC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7E21D3F"/>
    <w:multiLevelType w:val="hybridMultilevel"/>
    <w:tmpl w:val="47423C38"/>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1">
    <w:nsid w:val="748C7526"/>
    <w:multiLevelType w:val="hybridMultilevel"/>
    <w:tmpl w:val="766C700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D70611"/>
    <w:multiLevelType w:val="hybridMultilevel"/>
    <w:tmpl w:val="7E92310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F0C3A78"/>
    <w:multiLevelType w:val="hybridMultilevel"/>
    <w:tmpl w:val="99F6EFFA"/>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37"/>
  </w:num>
  <w:num w:numId="3">
    <w:abstractNumId w:val="28"/>
  </w:num>
  <w:num w:numId="4">
    <w:abstractNumId w:val="42"/>
  </w:num>
  <w:num w:numId="5">
    <w:abstractNumId w:val="24"/>
  </w:num>
  <w:num w:numId="6">
    <w:abstractNumId w:val="41"/>
  </w:num>
  <w:num w:numId="7">
    <w:abstractNumId w:val="3"/>
  </w:num>
  <w:num w:numId="8">
    <w:abstractNumId w:val="4"/>
  </w:num>
  <w:num w:numId="9">
    <w:abstractNumId w:val="20"/>
  </w:num>
  <w:num w:numId="10">
    <w:abstractNumId w:val="16"/>
  </w:num>
  <w:num w:numId="11">
    <w:abstractNumId w:val="39"/>
  </w:num>
  <w:num w:numId="12">
    <w:abstractNumId w:val="44"/>
  </w:num>
  <w:num w:numId="13">
    <w:abstractNumId w:val="31"/>
  </w:num>
  <w:num w:numId="14">
    <w:abstractNumId w:val="22"/>
  </w:num>
  <w:num w:numId="15">
    <w:abstractNumId w:val="6"/>
  </w:num>
  <w:num w:numId="16">
    <w:abstractNumId w:val="18"/>
  </w:num>
  <w:num w:numId="17">
    <w:abstractNumId w:val="21"/>
  </w:num>
  <w:num w:numId="18">
    <w:abstractNumId w:val="36"/>
  </w:num>
  <w:num w:numId="19">
    <w:abstractNumId w:val="5"/>
  </w:num>
  <w:num w:numId="20">
    <w:abstractNumId w:val="29"/>
  </w:num>
  <w:num w:numId="21">
    <w:abstractNumId w:val="35"/>
  </w:num>
  <w:num w:numId="22">
    <w:abstractNumId w:val="2"/>
  </w:num>
  <w:num w:numId="23">
    <w:abstractNumId w:val="12"/>
  </w:num>
  <w:num w:numId="24">
    <w:abstractNumId w:val="0"/>
  </w:num>
  <w:num w:numId="25">
    <w:abstractNumId w:val="43"/>
  </w:num>
  <w:num w:numId="26">
    <w:abstractNumId w:val="27"/>
  </w:num>
  <w:num w:numId="27">
    <w:abstractNumId w:val="9"/>
  </w:num>
  <w:num w:numId="28">
    <w:abstractNumId w:val="32"/>
  </w:num>
  <w:num w:numId="29">
    <w:abstractNumId w:val="7"/>
  </w:num>
  <w:num w:numId="30">
    <w:abstractNumId w:val="13"/>
  </w:num>
  <w:num w:numId="31">
    <w:abstractNumId w:val="30"/>
  </w:num>
  <w:num w:numId="32">
    <w:abstractNumId w:val="26"/>
  </w:num>
  <w:num w:numId="33">
    <w:abstractNumId w:val="11"/>
  </w:num>
  <w:num w:numId="34">
    <w:abstractNumId w:val="38"/>
  </w:num>
  <w:num w:numId="35">
    <w:abstractNumId w:val="23"/>
  </w:num>
  <w:num w:numId="36">
    <w:abstractNumId w:val="17"/>
  </w:num>
  <w:num w:numId="37">
    <w:abstractNumId w:val="10"/>
  </w:num>
  <w:num w:numId="38">
    <w:abstractNumId w:val="40"/>
  </w:num>
  <w:num w:numId="39">
    <w:abstractNumId w:val="34"/>
  </w:num>
  <w:num w:numId="40">
    <w:abstractNumId w:val="33"/>
  </w:num>
  <w:num w:numId="41">
    <w:abstractNumId w:val="1"/>
  </w:num>
  <w:num w:numId="42">
    <w:abstractNumId w:val="14"/>
  </w:num>
  <w:num w:numId="43">
    <w:abstractNumId w:val="8"/>
  </w:num>
  <w:num w:numId="44">
    <w:abstractNumId w:val="19"/>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16269"/>
    <w:rsid w:val="00002122"/>
    <w:rsid w:val="000055DE"/>
    <w:rsid w:val="00090554"/>
    <w:rsid w:val="00097739"/>
    <w:rsid w:val="000A7D49"/>
    <w:rsid w:val="000B4B11"/>
    <w:rsid w:val="000B715D"/>
    <w:rsid w:val="000D11AF"/>
    <w:rsid w:val="000E4218"/>
    <w:rsid w:val="000F0772"/>
    <w:rsid w:val="000F51AC"/>
    <w:rsid w:val="000F563E"/>
    <w:rsid w:val="00111E31"/>
    <w:rsid w:val="00115788"/>
    <w:rsid w:val="00117AAF"/>
    <w:rsid w:val="001205C3"/>
    <w:rsid w:val="001242DD"/>
    <w:rsid w:val="00134CCC"/>
    <w:rsid w:val="00135129"/>
    <w:rsid w:val="00154833"/>
    <w:rsid w:val="00164C2F"/>
    <w:rsid w:val="0018791F"/>
    <w:rsid w:val="001A55F9"/>
    <w:rsid w:val="001B3E1C"/>
    <w:rsid w:val="001C117E"/>
    <w:rsid w:val="00212D8D"/>
    <w:rsid w:val="002145DC"/>
    <w:rsid w:val="00217E2C"/>
    <w:rsid w:val="00241CF1"/>
    <w:rsid w:val="00244816"/>
    <w:rsid w:val="00247297"/>
    <w:rsid w:val="00294504"/>
    <w:rsid w:val="002D7546"/>
    <w:rsid w:val="002D788F"/>
    <w:rsid w:val="00323634"/>
    <w:rsid w:val="00352DB1"/>
    <w:rsid w:val="00353DE3"/>
    <w:rsid w:val="003A210C"/>
    <w:rsid w:val="003A773F"/>
    <w:rsid w:val="003B3AA6"/>
    <w:rsid w:val="003C16F0"/>
    <w:rsid w:val="003E2B73"/>
    <w:rsid w:val="003E639A"/>
    <w:rsid w:val="003E7F12"/>
    <w:rsid w:val="00440A82"/>
    <w:rsid w:val="004477A7"/>
    <w:rsid w:val="00452B80"/>
    <w:rsid w:val="004863A0"/>
    <w:rsid w:val="004917C9"/>
    <w:rsid w:val="0049787B"/>
    <w:rsid w:val="004B0714"/>
    <w:rsid w:val="004B677C"/>
    <w:rsid w:val="004D1835"/>
    <w:rsid w:val="004D2BC2"/>
    <w:rsid w:val="004D76AC"/>
    <w:rsid w:val="004F26A0"/>
    <w:rsid w:val="004F747B"/>
    <w:rsid w:val="00510D5A"/>
    <w:rsid w:val="00526444"/>
    <w:rsid w:val="00531BB5"/>
    <w:rsid w:val="00532E7D"/>
    <w:rsid w:val="0054693C"/>
    <w:rsid w:val="005542B9"/>
    <w:rsid w:val="00581934"/>
    <w:rsid w:val="005B4720"/>
    <w:rsid w:val="005B53FC"/>
    <w:rsid w:val="005C24F5"/>
    <w:rsid w:val="005D2C67"/>
    <w:rsid w:val="005E16BE"/>
    <w:rsid w:val="006014B1"/>
    <w:rsid w:val="00616166"/>
    <w:rsid w:val="00620BD8"/>
    <w:rsid w:val="006243E0"/>
    <w:rsid w:val="00642EE4"/>
    <w:rsid w:val="00653DDA"/>
    <w:rsid w:val="0065796F"/>
    <w:rsid w:val="00671FFD"/>
    <w:rsid w:val="006760FE"/>
    <w:rsid w:val="00684A44"/>
    <w:rsid w:val="0068647F"/>
    <w:rsid w:val="006D0F35"/>
    <w:rsid w:val="00711FC2"/>
    <w:rsid w:val="00725003"/>
    <w:rsid w:val="007329D6"/>
    <w:rsid w:val="007354BB"/>
    <w:rsid w:val="007640C1"/>
    <w:rsid w:val="007672A6"/>
    <w:rsid w:val="00795743"/>
    <w:rsid w:val="0079581A"/>
    <w:rsid w:val="007A1BF0"/>
    <w:rsid w:val="007A27C9"/>
    <w:rsid w:val="007B64E4"/>
    <w:rsid w:val="007E5E2E"/>
    <w:rsid w:val="007F3D88"/>
    <w:rsid w:val="0083720D"/>
    <w:rsid w:val="00846F08"/>
    <w:rsid w:val="00856141"/>
    <w:rsid w:val="00867996"/>
    <w:rsid w:val="008A0D1D"/>
    <w:rsid w:val="008A4EF3"/>
    <w:rsid w:val="008A647B"/>
    <w:rsid w:val="008B3867"/>
    <w:rsid w:val="008B5232"/>
    <w:rsid w:val="008C0E2A"/>
    <w:rsid w:val="008C3E20"/>
    <w:rsid w:val="008E2910"/>
    <w:rsid w:val="008F4673"/>
    <w:rsid w:val="00903A13"/>
    <w:rsid w:val="00904792"/>
    <w:rsid w:val="00915006"/>
    <w:rsid w:val="00935186"/>
    <w:rsid w:val="0096174A"/>
    <w:rsid w:val="0096512E"/>
    <w:rsid w:val="009729BF"/>
    <w:rsid w:val="00991C24"/>
    <w:rsid w:val="009A6387"/>
    <w:rsid w:val="009A6FDC"/>
    <w:rsid w:val="009B4319"/>
    <w:rsid w:val="009B6C29"/>
    <w:rsid w:val="009C43D4"/>
    <w:rsid w:val="009D2875"/>
    <w:rsid w:val="009E475F"/>
    <w:rsid w:val="00A11502"/>
    <w:rsid w:val="00A13B33"/>
    <w:rsid w:val="00A262D7"/>
    <w:rsid w:val="00A36E6D"/>
    <w:rsid w:val="00A41DAC"/>
    <w:rsid w:val="00A45CFD"/>
    <w:rsid w:val="00A52223"/>
    <w:rsid w:val="00A557F4"/>
    <w:rsid w:val="00A637ED"/>
    <w:rsid w:val="00A75403"/>
    <w:rsid w:val="00AA00BD"/>
    <w:rsid w:val="00AC3B5A"/>
    <w:rsid w:val="00AC4EA8"/>
    <w:rsid w:val="00AD0647"/>
    <w:rsid w:val="00B076A8"/>
    <w:rsid w:val="00B11867"/>
    <w:rsid w:val="00B121A8"/>
    <w:rsid w:val="00B4053C"/>
    <w:rsid w:val="00B53109"/>
    <w:rsid w:val="00B622F6"/>
    <w:rsid w:val="00B64AA8"/>
    <w:rsid w:val="00BA0A99"/>
    <w:rsid w:val="00BA1483"/>
    <w:rsid w:val="00BA15E0"/>
    <w:rsid w:val="00BC0022"/>
    <w:rsid w:val="00BD33D8"/>
    <w:rsid w:val="00BE5F7C"/>
    <w:rsid w:val="00C2030F"/>
    <w:rsid w:val="00C3337A"/>
    <w:rsid w:val="00C43A00"/>
    <w:rsid w:val="00C62A09"/>
    <w:rsid w:val="00C921F1"/>
    <w:rsid w:val="00C93D75"/>
    <w:rsid w:val="00CB648D"/>
    <w:rsid w:val="00CC3BDC"/>
    <w:rsid w:val="00CE04C3"/>
    <w:rsid w:val="00D00155"/>
    <w:rsid w:val="00D4111B"/>
    <w:rsid w:val="00D412E3"/>
    <w:rsid w:val="00D46409"/>
    <w:rsid w:val="00DD532E"/>
    <w:rsid w:val="00DF0535"/>
    <w:rsid w:val="00DF672D"/>
    <w:rsid w:val="00E029ED"/>
    <w:rsid w:val="00E34BA7"/>
    <w:rsid w:val="00E3510C"/>
    <w:rsid w:val="00E375C9"/>
    <w:rsid w:val="00E5490B"/>
    <w:rsid w:val="00E64BEC"/>
    <w:rsid w:val="00E65665"/>
    <w:rsid w:val="00E65A60"/>
    <w:rsid w:val="00E738B2"/>
    <w:rsid w:val="00EA448E"/>
    <w:rsid w:val="00EB4418"/>
    <w:rsid w:val="00EC31C4"/>
    <w:rsid w:val="00ED2774"/>
    <w:rsid w:val="00ED7532"/>
    <w:rsid w:val="00EE47E7"/>
    <w:rsid w:val="00F12D06"/>
    <w:rsid w:val="00F15C7C"/>
    <w:rsid w:val="00F16269"/>
    <w:rsid w:val="00F214EA"/>
    <w:rsid w:val="00F30276"/>
    <w:rsid w:val="00F3532C"/>
    <w:rsid w:val="00F62381"/>
    <w:rsid w:val="00F6706B"/>
    <w:rsid w:val="00F8465E"/>
    <w:rsid w:val="00F86C6F"/>
    <w:rsid w:val="00FB1914"/>
    <w:rsid w:val="00FF25FC"/>
    <w:rsid w:val="00FF49A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6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6269"/>
    <w:pPr>
      <w:ind w:left="720"/>
      <w:contextualSpacing/>
    </w:pPr>
  </w:style>
  <w:style w:type="paragraph" w:styleId="Encabezado">
    <w:name w:val="header"/>
    <w:basedOn w:val="Normal"/>
    <w:link w:val="EncabezadoCar"/>
    <w:uiPriority w:val="99"/>
    <w:rsid w:val="00F16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269"/>
    <w:rPr>
      <w:rFonts w:ascii="Calibri" w:eastAsia="Calibri" w:hAnsi="Calibri" w:cs="Times New Roman"/>
    </w:rPr>
  </w:style>
  <w:style w:type="paragraph" w:styleId="Piedepgina">
    <w:name w:val="footer"/>
    <w:basedOn w:val="Normal"/>
    <w:link w:val="PiedepginaCar"/>
    <w:uiPriority w:val="99"/>
    <w:rsid w:val="00F16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269"/>
    <w:rPr>
      <w:rFonts w:ascii="Calibri" w:eastAsia="Calibri" w:hAnsi="Calibri" w:cs="Times New Roman"/>
    </w:rPr>
  </w:style>
  <w:style w:type="paragraph" w:styleId="Sinespaciado">
    <w:name w:val="No Spacing"/>
    <w:uiPriority w:val="1"/>
    <w:qFormat/>
    <w:rsid w:val="00F1626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6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2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76C6-CEF6-4A77-8843-7C5D072B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2236</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124</cp:revision>
  <cp:lastPrinted>2014-09-01T22:50:00Z</cp:lastPrinted>
  <dcterms:created xsi:type="dcterms:W3CDTF">2014-05-20T00:07:00Z</dcterms:created>
  <dcterms:modified xsi:type="dcterms:W3CDTF">2014-09-01T22:50:00Z</dcterms:modified>
</cp:coreProperties>
</file>