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C95360" w:rsidRDefault="00FA4143" w:rsidP="00F23749">
      <w:pPr>
        <w:jc w:val="center"/>
        <w:rPr>
          <w:rFonts w:asciiTheme="minorHAnsi" w:hAnsiTheme="minorHAnsi" w:cstheme="minorHAnsi"/>
          <w:b/>
          <w:szCs w:val="20"/>
        </w:rPr>
      </w:pPr>
      <w:r w:rsidRPr="00C95360">
        <w:rPr>
          <w:rFonts w:asciiTheme="minorHAnsi" w:hAnsiTheme="minorHAnsi" w:cstheme="minorHAnsi"/>
          <w:b/>
        </w:rPr>
        <w:t>RECOMENDACIONES DERIVADAS DE</w:t>
      </w:r>
      <w:r w:rsidR="00AF1064" w:rsidRPr="00C95360">
        <w:rPr>
          <w:rFonts w:asciiTheme="minorHAnsi" w:hAnsiTheme="minorHAnsi" w:cstheme="minorHAnsi"/>
          <w:b/>
        </w:rPr>
        <w:t>L PROCESO DE</w:t>
      </w:r>
      <w:r w:rsidR="00F665A4" w:rsidRPr="00C95360">
        <w:rPr>
          <w:rFonts w:asciiTheme="minorHAnsi" w:hAnsiTheme="minorHAnsi" w:cstheme="minorHAnsi"/>
          <w:b/>
        </w:rPr>
        <w:t xml:space="preserve"> EVALUACION </w:t>
      </w:r>
      <w:r w:rsidRPr="00C95360">
        <w:rPr>
          <w:rFonts w:asciiTheme="minorHAnsi" w:hAnsiTheme="minorHAnsi" w:cstheme="minorHAnsi"/>
          <w:b/>
        </w:rPr>
        <w:t>DE LA INFORMACIÓN PÚBLICA DE OFICIO QUE DEBEN DAR A CONOCER LOS SUJETOS OBLIGADOS EN SUS PORTALES DE OBLIGACIONES DE TRANSPARENCIA</w:t>
      </w:r>
    </w:p>
    <w:p w:rsidR="00BE5F1A" w:rsidRPr="00C95360" w:rsidRDefault="00EB2328" w:rsidP="00BE5F1A">
      <w:pPr>
        <w:tabs>
          <w:tab w:val="left" w:pos="2190"/>
          <w:tab w:val="center" w:pos="4606"/>
        </w:tabs>
        <w:jc w:val="center"/>
        <w:rPr>
          <w:rFonts w:asciiTheme="minorHAnsi" w:hAnsiTheme="minorHAnsi" w:cstheme="minorHAnsi"/>
          <w:b/>
          <w:szCs w:val="20"/>
        </w:rPr>
      </w:pPr>
      <w:r w:rsidRPr="00C95360">
        <w:rPr>
          <w:rFonts w:asciiTheme="minorHAnsi" w:hAnsiTheme="minorHAnsi" w:cstheme="minorHAnsi"/>
          <w:b/>
          <w:szCs w:val="20"/>
        </w:rPr>
        <w:t>Instituto Electoral y de Participación Ciudadana del Estado de Baja California</w:t>
      </w:r>
    </w:p>
    <w:p w:rsidR="00E41B0D" w:rsidRPr="00C95360" w:rsidRDefault="00A27AEE" w:rsidP="00BE5F1A">
      <w:pPr>
        <w:tabs>
          <w:tab w:val="left" w:pos="2190"/>
          <w:tab w:val="center" w:pos="4606"/>
        </w:tabs>
        <w:jc w:val="center"/>
        <w:rPr>
          <w:rFonts w:asciiTheme="minorHAnsi" w:hAnsiTheme="minorHAnsi" w:cstheme="minorHAnsi"/>
          <w:b/>
          <w:szCs w:val="20"/>
        </w:rPr>
      </w:pPr>
      <w:r>
        <w:rPr>
          <w:rFonts w:asciiTheme="minorHAnsi" w:hAnsiTheme="minorHAnsi" w:cstheme="minorHAnsi"/>
          <w:b/>
          <w:szCs w:val="20"/>
        </w:rPr>
        <w:t>2do</w:t>
      </w:r>
      <w:r w:rsidR="00E41B0D" w:rsidRPr="00C95360">
        <w:rPr>
          <w:rFonts w:asciiTheme="minorHAnsi" w:hAnsiTheme="minorHAnsi" w:cstheme="minorHAnsi"/>
          <w:b/>
          <w:szCs w:val="20"/>
        </w:rPr>
        <w:t>. Trimestre 2014</w:t>
      </w:r>
    </w:p>
    <w:p w:rsidR="00FA4143" w:rsidRPr="00C95360" w:rsidRDefault="00FA4143" w:rsidP="002E6385">
      <w:pPr>
        <w:jc w:val="both"/>
        <w:rPr>
          <w:rFonts w:asciiTheme="minorHAnsi" w:hAnsiTheme="minorHAnsi" w:cstheme="minorHAnsi"/>
          <w:b/>
          <w:szCs w:val="20"/>
        </w:rPr>
      </w:pPr>
      <w:r w:rsidRPr="00C95360">
        <w:rPr>
          <w:rFonts w:asciiTheme="minorHAnsi" w:hAnsiTheme="minorHAnsi" w:cstheme="minorHAnsi"/>
          <w:b/>
          <w:szCs w:val="20"/>
        </w:rPr>
        <w:t>Artículo 11.- Los sujetos obligados deberán, de oficio, poner a disposición del público, la siguiente información:</w:t>
      </w:r>
    </w:p>
    <w:p w:rsidR="00FA4143" w:rsidRPr="00C95360" w:rsidRDefault="00FA4143" w:rsidP="002E6385">
      <w:pPr>
        <w:jc w:val="both"/>
        <w:rPr>
          <w:rFonts w:asciiTheme="minorHAnsi" w:hAnsiTheme="minorHAnsi" w:cstheme="minorHAnsi"/>
          <w:b/>
          <w:szCs w:val="20"/>
        </w:rPr>
      </w:pPr>
      <w:r w:rsidRPr="00C95360">
        <w:rPr>
          <w:rFonts w:asciiTheme="minorHAnsi" w:hAnsiTheme="minorHAnsi" w:cstheme="minorHAnsi"/>
          <w:b/>
          <w:szCs w:val="20"/>
        </w:rPr>
        <w:t>I.- Sus facultades y los indicadores de gestión utilizados para evaluar su desempeño, metas y objetivos de sus programas operativos;</w:t>
      </w:r>
    </w:p>
    <w:p w:rsidR="001A64D6" w:rsidRPr="0064059C" w:rsidRDefault="00FA4143" w:rsidP="002A4293">
      <w:pPr>
        <w:pStyle w:val="Prrafodelista"/>
        <w:numPr>
          <w:ilvl w:val="0"/>
          <w:numId w:val="1"/>
        </w:numPr>
        <w:jc w:val="both"/>
        <w:rPr>
          <w:rFonts w:asciiTheme="minorHAnsi" w:hAnsiTheme="minorHAnsi" w:cstheme="minorHAnsi"/>
          <w:szCs w:val="20"/>
        </w:rPr>
      </w:pPr>
      <w:r w:rsidRPr="00C95360">
        <w:rPr>
          <w:rFonts w:asciiTheme="minorHAnsi" w:hAnsiTheme="minorHAnsi" w:cstheme="minorHAnsi"/>
          <w:szCs w:val="20"/>
        </w:rPr>
        <w:t>Se recomienda publicar</w:t>
      </w:r>
      <w:r w:rsidR="000D3367" w:rsidRPr="00C95360">
        <w:rPr>
          <w:rFonts w:asciiTheme="minorHAnsi" w:hAnsiTheme="minorHAnsi" w:cstheme="minorHAnsi"/>
          <w:szCs w:val="20"/>
        </w:rPr>
        <w:t xml:space="preserve"> información concerniente a las </w:t>
      </w:r>
      <w:r w:rsidRPr="00C95360">
        <w:rPr>
          <w:rFonts w:asciiTheme="minorHAnsi" w:hAnsiTheme="minorHAnsi" w:cstheme="minorHAnsi"/>
          <w:szCs w:val="20"/>
        </w:rPr>
        <w:t>facultades</w:t>
      </w:r>
      <w:r w:rsidR="000D3367" w:rsidRPr="00C95360">
        <w:t xml:space="preserve"> </w:t>
      </w:r>
      <w:r w:rsidR="002429A8" w:rsidRPr="00C95360">
        <w:t>o a</w:t>
      </w:r>
      <w:r w:rsidR="000D3367" w:rsidRPr="00C95360">
        <w:t>tribuciones de cada una de las Unidades Administrativas u órganos que forman parte del Sujeto Obligado</w:t>
      </w:r>
      <w:r w:rsidR="008712FE" w:rsidRPr="00C95360">
        <w:rPr>
          <w:rFonts w:asciiTheme="minorHAnsi" w:hAnsiTheme="minorHAnsi" w:cstheme="minorHAnsi"/>
          <w:szCs w:val="20"/>
        </w:rPr>
        <w:t>.</w:t>
      </w:r>
      <w:r w:rsidRPr="00C95360">
        <w:rPr>
          <w:rFonts w:asciiTheme="minorHAnsi" w:hAnsiTheme="minorHAnsi" w:cstheme="minorHAnsi"/>
          <w:szCs w:val="20"/>
        </w:rPr>
        <w:t xml:space="preserve"> Se recomienda incluir las facultades de todas las Unidades Administrativas hasta el nivel de jefe de </w:t>
      </w:r>
      <w:r w:rsidRPr="0064059C">
        <w:rPr>
          <w:rFonts w:asciiTheme="minorHAnsi" w:hAnsiTheme="minorHAnsi" w:cstheme="minorHAnsi"/>
          <w:szCs w:val="20"/>
        </w:rPr>
        <w:t>departamento o su equivalente.</w:t>
      </w:r>
      <w:r w:rsidR="00C14C02" w:rsidRPr="0064059C">
        <w:rPr>
          <w:rFonts w:asciiTheme="minorHAnsi" w:hAnsiTheme="minorHAnsi" w:cstheme="minorHAnsi"/>
          <w:szCs w:val="20"/>
        </w:rPr>
        <w:t xml:space="preserve"> El documento publicado donde se indica el </w:t>
      </w:r>
      <w:r w:rsidR="00DE1123" w:rsidRPr="0064059C">
        <w:rPr>
          <w:rFonts w:asciiTheme="minorHAnsi" w:hAnsiTheme="minorHAnsi" w:cstheme="minorHAnsi"/>
          <w:szCs w:val="20"/>
        </w:rPr>
        <w:t>artículo</w:t>
      </w:r>
      <w:r w:rsidR="00C14C02" w:rsidRPr="0064059C">
        <w:rPr>
          <w:rFonts w:asciiTheme="minorHAnsi" w:hAnsiTheme="minorHAnsi" w:cstheme="minorHAnsi"/>
          <w:szCs w:val="20"/>
        </w:rPr>
        <w:t xml:space="preserve"> de la Ley de Instituciones y Procedimientos Electorales no corresponde  a lo señalado en la fracción.</w:t>
      </w:r>
      <w:r w:rsidRPr="0064059C">
        <w:rPr>
          <w:rFonts w:asciiTheme="minorHAnsi" w:hAnsiTheme="minorHAnsi" w:cstheme="minorHAnsi"/>
          <w:szCs w:val="20"/>
        </w:rPr>
        <w:t xml:space="preserve"> </w:t>
      </w:r>
      <w:r w:rsidR="0025411C" w:rsidRPr="0064059C">
        <w:rPr>
          <w:rFonts w:asciiTheme="minorHAnsi" w:hAnsiTheme="minorHAnsi" w:cstheme="minorHAnsi"/>
          <w:b/>
          <w:szCs w:val="20"/>
        </w:rPr>
        <w:t>NO ATENDIDA</w:t>
      </w:r>
      <w:r w:rsidR="000D3367" w:rsidRPr="0064059C">
        <w:rPr>
          <w:rFonts w:asciiTheme="minorHAnsi" w:hAnsiTheme="minorHAnsi" w:cstheme="minorHAnsi"/>
          <w:szCs w:val="20"/>
        </w:rPr>
        <w:tab/>
      </w:r>
    </w:p>
    <w:p w:rsidR="001A64D6" w:rsidRPr="0064059C" w:rsidRDefault="001A64D6" w:rsidP="001A64D6">
      <w:pPr>
        <w:pStyle w:val="Prrafodelista"/>
        <w:numPr>
          <w:ilvl w:val="0"/>
          <w:numId w:val="1"/>
        </w:numPr>
        <w:jc w:val="both"/>
        <w:rPr>
          <w:rFonts w:asciiTheme="minorHAnsi" w:hAnsiTheme="minorHAnsi" w:cstheme="minorHAnsi"/>
          <w:szCs w:val="20"/>
        </w:rPr>
      </w:pPr>
      <w:r w:rsidRPr="0064059C">
        <w:rPr>
          <w:rFonts w:asciiTheme="minorHAnsi" w:hAnsiTheme="minorHAnsi" w:cstheme="minorHAnsi"/>
          <w:szCs w:val="20"/>
        </w:rPr>
        <w:t xml:space="preserve">Se recomienda  publicar los resultados obtenidos en la medición de los indicadores del ejercicio 2013. </w:t>
      </w:r>
      <w:r w:rsidR="0025411C" w:rsidRPr="0064059C">
        <w:rPr>
          <w:rFonts w:asciiTheme="minorHAnsi" w:hAnsiTheme="minorHAnsi" w:cstheme="minorHAnsi"/>
          <w:b/>
          <w:szCs w:val="20"/>
        </w:rPr>
        <w:t>NO ATENDIDA</w:t>
      </w:r>
    </w:p>
    <w:p w:rsidR="000D3367" w:rsidRPr="0064059C" w:rsidRDefault="000D3367" w:rsidP="001A64D6">
      <w:pPr>
        <w:pStyle w:val="Prrafodelista"/>
        <w:numPr>
          <w:ilvl w:val="0"/>
          <w:numId w:val="1"/>
        </w:numPr>
        <w:jc w:val="both"/>
        <w:rPr>
          <w:rFonts w:asciiTheme="minorHAnsi" w:hAnsiTheme="minorHAnsi" w:cstheme="minorHAnsi"/>
          <w:szCs w:val="20"/>
        </w:rPr>
      </w:pPr>
      <w:r w:rsidRPr="0064059C">
        <w:t>S</w:t>
      </w:r>
      <w:r w:rsidR="002A4293" w:rsidRPr="0064059C">
        <w:t>e</w:t>
      </w:r>
      <w:r w:rsidRPr="0064059C">
        <w:t xml:space="preserve"> recomienda publica información respecto a los Programas Operativos los cuales sustentan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 Además, deberá publicarse la información que se remite al Congreso del Estado según el artículo 82 fracción I numeral 3.</w:t>
      </w:r>
      <w:r w:rsidR="0025411C" w:rsidRPr="0064059C">
        <w:rPr>
          <w:rFonts w:asciiTheme="minorHAnsi" w:hAnsiTheme="minorHAnsi" w:cstheme="minorHAnsi"/>
          <w:b/>
          <w:szCs w:val="20"/>
        </w:rPr>
        <w:t xml:space="preserve"> NO ATENDIDA</w:t>
      </w:r>
    </w:p>
    <w:p w:rsidR="001515CC" w:rsidRPr="0064059C" w:rsidRDefault="00655F4D" w:rsidP="00AC1217">
      <w:pPr>
        <w:pStyle w:val="Prrafodelista"/>
        <w:numPr>
          <w:ilvl w:val="0"/>
          <w:numId w:val="1"/>
        </w:numPr>
        <w:jc w:val="both"/>
        <w:rPr>
          <w:rFonts w:asciiTheme="minorHAnsi" w:hAnsiTheme="minorHAnsi" w:cstheme="minorHAnsi"/>
          <w:b/>
          <w:szCs w:val="20"/>
        </w:rPr>
      </w:pPr>
      <w:r w:rsidRPr="0064059C">
        <w:rPr>
          <w:rFonts w:asciiTheme="minorHAnsi" w:hAnsiTheme="minorHAnsi"/>
          <w:lang w:eastAsia="es-MX"/>
        </w:rPr>
        <w:t>Se recomienda actualizar esta fracción de acuerdo a los plazos establecidos en la fracción I del artículo 12 de la Ley de Transparencia y Acceso a la Información Publica para el Estado de Baja California.</w:t>
      </w:r>
      <w:r w:rsidR="0025411C" w:rsidRPr="0064059C">
        <w:rPr>
          <w:rFonts w:asciiTheme="minorHAnsi" w:hAnsiTheme="minorHAnsi" w:cstheme="minorHAnsi"/>
          <w:b/>
          <w:szCs w:val="20"/>
        </w:rPr>
        <w:t xml:space="preserve">  </w:t>
      </w:r>
      <w:r w:rsidR="001515CC" w:rsidRPr="0064059C">
        <w:rPr>
          <w:rFonts w:asciiTheme="minorHAnsi" w:hAnsiTheme="minorHAnsi" w:cstheme="minorHAnsi"/>
          <w:b/>
          <w:szCs w:val="20"/>
        </w:rPr>
        <w:t xml:space="preserve">NO </w:t>
      </w:r>
      <w:r w:rsidR="0025411C" w:rsidRPr="0064059C">
        <w:rPr>
          <w:rFonts w:asciiTheme="minorHAnsi" w:hAnsiTheme="minorHAnsi" w:cstheme="minorHAnsi"/>
          <w:b/>
          <w:szCs w:val="20"/>
        </w:rPr>
        <w:t xml:space="preserve">ATENDIDA </w:t>
      </w:r>
    </w:p>
    <w:p w:rsidR="00AC1217" w:rsidRPr="0064059C" w:rsidRDefault="00AC1217" w:rsidP="001515CC">
      <w:pPr>
        <w:jc w:val="both"/>
        <w:rPr>
          <w:rFonts w:asciiTheme="minorHAnsi" w:hAnsiTheme="minorHAnsi" w:cstheme="minorHAnsi"/>
          <w:b/>
          <w:szCs w:val="20"/>
        </w:rPr>
      </w:pPr>
      <w:r w:rsidRPr="0064059C">
        <w:rPr>
          <w:rFonts w:asciiTheme="minorHAnsi" w:hAnsiTheme="minorHAnsi" w:cstheme="minorHAnsi"/>
          <w:b/>
          <w:szCs w:val="20"/>
        </w:rPr>
        <w:t>II.- Su estructura orgánica;</w:t>
      </w:r>
    </w:p>
    <w:p w:rsidR="00FA4143" w:rsidRPr="0064059C" w:rsidRDefault="002A4293" w:rsidP="002A4293">
      <w:pPr>
        <w:jc w:val="both"/>
      </w:pPr>
      <w:r w:rsidRPr="0064059C">
        <w:t>No se emiten recomendaciones respecto a esta fracción.</w:t>
      </w:r>
    </w:p>
    <w:p w:rsidR="00F67716" w:rsidRPr="0064059C" w:rsidRDefault="00AC1217" w:rsidP="00AC1217">
      <w:pPr>
        <w:pStyle w:val="Sinespaciado"/>
        <w:jc w:val="both"/>
        <w:rPr>
          <w:sz w:val="18"/>
        </w:rPr>
      </w:pPr>
      <w:r w:rsidRPr="0064059C">
        <w:rPr>
          <w:b/>
          <w:sz w:val="18"/>
        </w:rPr>
        <w:t>*</w:t>
      </w:r>
      <w:r w:rsidR="00FA4143" w:rsidRPr="0064059C">
        <w:rPr>
          <w:b/>
          <w:sz w:val="18"/>
        </w:rPr>
        <w:t>NOTA</w:t>
      </w:r>
      <w:r w:rsidR="00FA4143" w:rsidRPr="0064059C">
        <w:rPr>
          <w:sz w:val="18"/>
        </w:rPr>
        <w:t xml:space="preserve">: con base en la </w:t>
      </w:r>
      <w:r w:rsidR="00F67716" w:rsidRPr="0064059C">
        <w:rPr>
          <w:sz w:val="18"/>
        </w:rPr>
        <w:t>Guía  Referencial  de  criterios  para  la  Interpretación  y  Evaluación  de  la  Información  Pública  de Oficio señalada en el artículo 11 de la Ley de Transparencia y Acceso a la Información Pública para el Estado de Baja California</w:t>
      </w:r>
      <w:r w:rsidR="006B430E" w:rsidRPr="0064059C">
        <w:rPr>
          <w:sz w:val="18"/>
        </w:rPr>
        <w:t>.</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856169" w:rsidRPr="0064059C" w:rsidRDefault="00856169" w:rsidP="002E6385">
      <w:pPr>
        <w:pStyle w:val="Prrafodelista"/>
        <w:numPr>
          <w:ilvl w:val="0"/>
          <w:numId w:val="2"/>
        </w:numPr>
        <w:jc w:val="both"/>
        <w:rPr>
          <w:rFonts w:asciiTheme="minorHAnsi" w:hAnsiTheme="minorHAnsi" w:cstheme="minorHAnsi"/>
          <w:szCs w:val="20"/>
        </w:rPr>
      </w:pPr>
      <w:r w:rsidRPr="0064059C">
        <w:rPr>
          <w:rFonts w:asciiTheme="minorHAnsi" w:hAnsiTheme="minorHAnsi" w:cstheme="minorHAnsi"/>
          <w:szCs w:val="20"/>
        </w:rPr>
        <w:t>Por lo que refiere a la información curricular,  se deberá incorporar las versiones públicas de estos documentos para la totalidad de los servidores públicos del IEPCBC hasta el Nivel de Jefe de departamento, incluido el del Titular, toda vez no se localizaron los documentos concernientes de una gran cantidad de los funcionarios</w:t>
      </w:r>
      <w:r w:rsidR="0025411C" w:rsidRPr="0064059C">
        <w:rPr>
          <w:rFonts w:asciiTheme="minorHAnsi" w:hAnsiTheme="minorHAnsi" w:cstheme="minorHAnsi"/>
          <w:szCs w:val="20"/>
        </w:rPr>
        <w:t>.</w:t>
      </w:r>
      <w:r w:rsidR="0025411C" w:rsidRPr="0064059C">
        <w:rPr>
          <w:rFonts w:asciiTheme="minorHAnsi" w:hAnsiTheme="minorHAnsi" w:cstheme="minorHAnsi"/>
          <w:b/>
          <w:szCs w:val="20"/>
        </w:rPr>
        <w:t xml:space="preserve"> NO ATENDIDA</w:t>
      </w:r>
    </w:p>
    <w:p w:rsidR="00A81733" w:rsidRPr="0064059C" w:rsidRDefault="00A81733" w:rsidP="002E6385">
      <w:pPr>
        <w:pStyle w:val="Prrafodelista"/>
        <w:numPr>
          <w:ilvl w:val="0"/>
          <w:numId w:val="2"/>
        </w:numPr>
        <w:jc w:val="both"/>
        <w:rPr>
          <w:rFonts w:asciiTheme="minorHAnsi" w:hAnsiTheme="minorHAnsi" w:cstheme="minorHAnsi"/>
          <w:szCs w:val="20"/>
        </w:rPr>
      </w:pPr>
      <w:r w:rsidRPr="0064059C">
        <w:rPr>
          <w:rFonts w:asciiTheme="minorHAnsi" w:hAnsiTheme="minorHAnsi" w:cstheme="minorHAnsi"/>
          <w:szCs w:val="20"/>
        </w:rPr>
        <w:t>Se recomienda  eliminar los datos personales que fueron detectados durante la revisión de la información curricular (lugar y fecha de nacimiento, teléfono,</w:t>
      </w:r>
      <w:r w:rsidR="00E929E8" w:rsidRPr="0064059C">
        <w:rPr>
          <w:rFonts w:asciiTheme="minorHAnsi" w:hAnsiTheme="minorHAnsi" w:cstheme="minorHAnsi"/>
          <w:szCs w:val="20"/>
        </w:rPr>
        <w:t xml:space="preserve"> domicilio privado</w:t>
      </w:r>
      <w:r w:rsidR="00856169" w:rsidRPr="0064059C">
        <w:rPr>
          <w:rFonts w:asciiTheme="minorHAnsi" w:hAnsiTheme="minorHAnsi" w:cstheme="minorHAnsi"/>
          <w:szCs w:val="20"/>
        </w:rPr>
        <w:t>)</w:t>
      </w:r>
      <w:r w:rsidRPr="0064059C">
        <w:rPr>
          <w:rFonts w:asciiTheme="minorHAnsi" w:hAnsiTheme="minorHAnsi" w:cstheme="minorHAnsi"/>
          <w:szCs w:val="20"/>
        </w:rPr>
        <w:t>.</w:t>
      </w:r>
      <w:r w:rsidR="00673BE8" w:rsidRPr="0064059C">
        <w:rPr>
          <w:rFonts w:asciiTheme="minorHAnsi" w:hAnsiTheme="minorHAnsi" w:cstheme="minorHAnsi"/>
          <w:szCs w:val="20"/>
        </w:rPr>
        <w:t xml:space="preserve">         </w:t>
      </w:r>
      <w:r w:rsidR="0025411C" w:rsidRPr="0064059C">
        <w:rPr>
          <w:rFonts w:asciiTheme="minorHAnsi" w:hAnsiTheme="minorHAnsi" w:cstheme="minorHAnsi"/>
          <w:b/>
          <w:szCs w:val="20"/>
        </w:rPr>
        <w:t xml:space="preserve"> ATENDIDA</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t>IV.- Los servicios que ofrecen, los trámites, requisitos y formatos y, en su caso, el monto de los derechos para acceder a los mismos;</w:t>
      </w:r>
    </w:p>
    <w:p w:rsidR="006164D4" w:rsidRPr="0064059C" w:rsidRDefault="00655F4D" w:rsidP="00F135CE">
      <w:pPr>
        <w:pStyle w:val="Prrafodelista"/>
        <w:numPr>
          <w:ilvl w:val="0"/>
          <w:numId w:val="10"/>
        </w:numPr>
        <w:jc w:val="both"/>
        <w:rPr>
          <w:rFonts w:asciiTheme="minorHAnsi" w:hAnsiTheme="minorHAnsi" w:cstheme="minorHAnsi"/>
          <w:szCs w:val="20"/>
        </w:rPr>
      </w:pPr>
      <w:r w:rsidRPr="0064059C">
        <w:rPr>
          <w:rFonts w:asciiTheme="minorHAnsi" w:hAnsiTheme="minorHAnsi" w:cstheme="minorHAnsi"/>
        </w:rPr>
        <w:t xml:space="preserve">Se recomienda  incorporar en esta fracción </w:t>
      </w:r>
      <w:r w:rsidRPr="0064059C">
        <w:t>los servicios y formato de solicitud de ejercicio de derechos  de acceso, rectificación, cancelación y oposición de datos personales.</w:t>
      </w:r>
      <w:r w:rsidR="0025411C" w:rsidRPr="0064059C">
        <w:t xml:space="preserve">          </w:t>
      </w:r>
      <w:r w:rsidR="0025411C" w:rsidRPr="0064059C">
        <w:rPr>
          <w:rFonts w:asciiTheme="minorHAnsi" w:hAnsiTheme="minorHAnsi" w:cstheme="minorHAnsi"/>
          <w:b/>
          <w:szCs w:val="20"/>
        </w:rPr>
        <w:t xml:space="preserve"> NO ATENDIDA</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t>V.- Los informes de acceso a la información, que contengan cuando menos:</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t>a).- Número de solicitudes de información que les han sido presentadas;</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t>b).- Objeto de las solicitudes;</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t>c).- Solicitudes procesadas y respondidas, así como el número de aquellas que se encuentren pendientes; y</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t>d).- Las solicitudes que hayan sido denegadas y los fundamentos por lo que fueron desechadas.</w:t>
      </w:r>
    </w:p>
    <w:p w:rsidR="00026F93" w:rsidRPr="0064059C" w:rsidRDefault="005B3623" w:rsidP="00715BD9">
      <w:pPr>
        <w:pStyle w:val="Prrafodelista"/>
        <w:numPr>
          <w:ilvl w:val="0"/>
          <w:numId w:val="3"/>
        </w:numPr>
        <w:jc w:val="both"/>
      </w:pPr>
      <w:r w:rsidRPr="0064059C">
        <w:t xml:space="preserve">Se recomienda </w:t>
      </w:r>
      <w:r w:rsidR="00715BD9" w:rsidRPr="0064059C">
        <w:t xml:space="preserve">actualizar el informe publicado de tal manera que este refleje el mismo </w:t>
      </w:r>
      <w:r w:rsidR="00E000CE" w:rsidRPr="0064059C">
        <w:t>número</w:t>
      </w:r>
      <w:r w:rsidR="00715BD9" w:rsidRPr="0064059C">
        <w:t xml:space="preserve"> de solicitudes procesadas y respondidas que se report</w:t>
      </w:r>
      <w:r w:rsidR="00745978" w:rsidRPr="0064059C">
        <w:t xml:space="preserve">ó </w:t>
      </w:r>
      <w:r w:rsidR="00715BD9" w:rsidRPr="0064059C">
        <w:t xml:space="preserve">en el formato canalizado para su llenado con motivo del Informe </w:t>
      </w:r>
      <w:r w:rsidR="00E000CE" w:rsidRPr="0064059C">
        <w:t xml:space="preserve">Anual de Acceso a la Información del ejercicio 2013. </w:t>
      </w:r>
      <w:r w:rsidR="0025411C" w:rsidRPr="0064059C">
        <w:rPr>
          <w:rFonts w:asciiTheme="minorHAnsi" w:hAnsiTheme="minorHAnsi" w:cstheme="minorHAnsi"/>
          <w:b/>
          <w:szCs w:val="20"/>
        </w:rPr>
        <w:t>NO ATENDIDA</w:t>
      </w:r>
    </w:p>
    <w:p w:rsidR="00FA4143" w:rsidRPr="0064059C" w:rsidRDefault="00FA4143" w:rsidP="002E6385">
      <w:pPr>
        <w:jc w:val="both"/>
        <w:rPr>
          <w:rFonts w:asciiTheme="minorHAnsi" w:hAnsiTheme="minorHAnsi" w:cstheme="minorHAnsi"/>
          <w:b/>
          <w:szCs w:val="20"/>
        </w:rPr>
      </w:pPr>
      <w:r w:rsidRPr="0064059C">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026F43" w:rsidRPr="0064059C" w:rsidRDefault="005E4ED9" w:rsidP="00F135CE">
      <w:pPr>
        <w:pStyle w:val="Prrafodelista"/>
        <w:numPr>
          <w:ilvl w:val="0"/>
          <w:numId w:val="7"/>
        </w:numPr>
        <w:jc w:val="both"/>
        <w:rPr>
          <w:rFonts w:asciiTheme="minorHAnsi" w:hAnsiTheme="minorHAnsi" w:cstheme="minorHAnsi"/>
          <w:szCs w:val="20"/>
        </w:rPr>
      </w:pPr>
      <w:r w:rsidRPr="0064059C">
        <w:rPr>
          <w:rFonts w:asciiTheme="minorHAnsi" w:hAnsiTheme="minorHAnsi" w:cstheme="minorHAnsi"/>
          <w:szCs w:val="20"/>
        </w:rPr>
        <w:t xml:space="preserve">Se recomienda publicar </w:t>
      </w:r>
      <w:r w:rsidR="00026F43" w:rsidRPr="0064059C">
        <w:rPr>
          <w:rFonts w:asciiTheme="minorHAnsi" w:hAnsiTheme="minorHAnsi" w:cstheme="minorHAnsi"/>
          <w:szCs w:val="20"/>
        </w:rPr>
        <w:t>el correo electrónico para la totali</w:t>
      </w:r>
      <w:r w:rsidR="00A861C5" w:rsidRPr="0064059C">
        <w:rPr>
          <w:rFonts w:asciiTheme="minorHAnsi" w:hAnsiTheme="minorHAnsi" w:cstheme="minorHAnsi"/>
          <w:szCs w:val="20"/>
        </w:rPr>
        <w:t xml:space="preserve">dad de los  servidores públicos, </w:t>
      </w:r>
      <w:r w:rsidR="00CF4F31" w:rsidRPr="0064059C">
        <w:rPr>
          <w:rFonts w:asciiTheme="minorHAnsi" w:hAnsiTheme="minorHAnsi" w:cstheme="minorHAnsi"/>
          <w:szCs w:val="20"/>
        </w:rPr>
        <w:t>así</w:t>
      </w:r>
      <w:r w:rsidR="00A861C5" w:rsidRPr="0064059C">
        <w:rPr>
          <w:rFonts w:asciiTheme="minorHAnsi" w:hAnsiTheme="minorHAnsi" w:cstheme="minorHAnsi"/>
          <w:szCs w:val="20"/>
        </w:rPr>
        <w:t xml:space="preserve"> como las extensiones </w:t>
      </w:r>
      <w:r w:rsidR="00CF4F31" w:rsidRPr="0064059C">
        <w:rPr>
          <w:rFonts w:asciiTheme="minorHAnsi" w:hAnsiTheme="minorHAnsi" w:cstheme="minorHAnsi"/>
          <w:szCs w:val="20"/>
        </w:rPr>
        <w:t>telefónicas</w:t>
      </w:r>
      <w:r w:rsidR="00A861C5" w:rsidRPr="0064059C">
        <w:rPr>
          <w:rFonts w:asciiTheme="minorHAnsi" w:hAnsiTheme="minorHAnsi" w:cstheme="minorHAnsi"/>
          <w:szCs w:val="20"/>
        </w:rPr>
        <w:t xml:space="preserve"> (en caso de no contar con </w:t>
      </w:r>
      <w:r w:rsidR="00787969" w:rsidRPr="0064059C">
        <w:rPr>
          <w:rFonts w:asciiTheme="minorHAnsi" w:hAnsiTheme="minorHAnsi" w:cstheme="minorHAnsi"/>
          <w:szCs w:val="20"/>
        </w:rPr>
        <w:t xml:space="preserve">estas herramientas de </w:t>
      </w:r>
      <w:r w:rsidR="00B42B02" w:rsidRPr="0064059C">
        <w:rPr>
          <w:rFonts w:asciiTheme="minorHAnsi" w:hAnsiTheme="minorHAnsi" w:cstheme="minorHAnsi"/>
          <w:szCs w:val="20"/>
        </w:rPr>
        <w:t>comunicación</w:t>
      </w:r>
      <w:r w:rsidR="00A861C5" w:rsidRPr="0064059C">
        <w:rPr>
          <w:rFonts w:asciiTheme="minorHAnsi" w:hAnsiTheme="minorHAnsi" w:cstheme="minorHAnsi"/>
          <w:szCs w:val="20"/>
        </w:rPr>
        <w:t xml:space="preserve"> se recomienda señalarlo claramente).</w:t>
      </w:r>
      <w:r w:rsidR="0025411C" w:rsidRPr="0064059C">
        <w:rPr>
          <w:rFonts w:asciiTheme="minorHAnsi" w:hAnsiTheme="minorHAnsi" w:cstheme="minorHAnsi"/>
          <w:b/>
          <w:szCs w:val="20"/>
        </w:rPr>
        <w:t xml:space="preserve"> NO ATENDIDA</w:t>
      </w:r>
    </w:p>
    <w:p w:rsidR="004A2E67" w:rsidRPr="0064059C" w:rsidRDefault="004A2E67" w:rsidP="00F135CE">
      <w:pPr>
        <w:pStyle w:val="Prrafodelista"/>
        <w:numPr>
          <w:ilvl w:val="0"/>
          <w:numId w:val="7"/>
        </w:numPr>
        <w:jc w:val="both"/>
        <w:rPr>
          <w:rFonts w:asciiTheme="minorHAnsi" w:hAnsiTheme="minorHAnsi" w:cstheme="minorHAnsi"/>
          <w:szCs w:val="20"/>
        </w:rPr>
      </w:pPr>
      <w:r w:rsidRPr="0064059C">
        <w:rPr>
          <w:rFonts w:asciiTheme="minorHAnsi" w:hAnsiTheme="minorHAnsi"/>
          <w:color w:val="000000"/>
          <w:lang w:eastAsia="es-MX"/>
        </w:rPr>
        <w:lastRenderedPageBreak/>
        <w:t xml:space="preserve">Se recomienda actualizar esta fracción de acuerdo a los plazos establecidos en la fracción I del artículo 12 de la Ley de Transparencia y Acceso a la Información </w:t>
      </w:r>
      <w:r w:rsidR="00DE1123" w:rsidRPr="0064059C">
        <w:rPr>
          <w:rFonts w:asciiTheme="minorHAnsi" w:hAnsiTheme="minorHAnsi"/>
          <w:color w:val="000000"/>
          <w:lang w:eastAsia="es-MX"/>
        </w:rPr>
        <w:t>Pública</w:t>
      </w:r>
      <w:r w:rsidRPr="0064059C">
        <w:rPr>
          <w:rFonts w:asciiTheme="minorHAnsi" w:hAnsiTheme="minorHAnsi"/>
          <w:color w:val="000000"/>
          <w:lang w:eastAsia="es-MX"/>
        </w:rPr>
        <w:t xml:space="preserve"> para el Estado de Baja California.</w:t>
      </w:r>
      <w:r w:rsidR="0025411C" w:rsidRPr="0064059C">
        <w:rPr>
          <w:rFonts w:asciiTheme="minorHAnsi" w:hAnsiTheme="minorHAnsi"/>
          <w:color w:val="000000"/>
          <w:lang w:eastAsia="es-MX"/>
        </w:rPr>
        <w:t xml:space="preserve"> </w:t>
      </w:r>
      <w:r w:rsidR="0025411C" w:rsidRPr="0064059C">
        <w:rPr>
          <w:rFonts w:asciiTheme="minorHAnsi" w:hAnsiTheme="minorHAnsi"/>
          <w:b/>
          <w:color w:val="000000"/>
          <w:lang w:eastAsia="es-MX"/>
        </w:rPr>
        <w:t xml:space="preserve">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E0DC7" w:rsidRPr="0064059C" w:rsidRDefault="001E0DC7" w:rsidP="009F4C73">
      <w:pPr>
        <w:pStyle w:val="Prrafodelista"/>
        <w:numPr>
          <w:ilvl w:val="0"/>
          <w:numId w:val="16"/>
        </w:numPr>
        <w:jc w:val="both"/>
        <w:rPr>
          <w:rFonts w:asciiTheme="minorHAnsi" w:hAnsiTheme="minorHAnsi" w:cstheme="minorHAnsi"/>
          <w:szCs w:val="20"/>
        </w:rPr>
      </w:pPr>
      <w:r w:rsidRPr="0064059C">
        <w:rPr>
          <w:rFonts w:asciiTheme="minorHAnsi" w:hAnsiTheme="minorHAnsi" w:cstheme="minorHAnsi"/>
          <w:szCs w:val="20"/>
        </w:rPr>
        <w:t xml:space="preserve">Se recomienda publicar información de la totalidad de los servidores públicos toda vez que en el </w:t>
      </w:r>
      <w:r w:rsidR="00EB08E1" w:rsidRPr="0064059C">
        <w:rPr>
          <w:rFonts w:asciiTheme="minorHAnsi" w:hAnsiTheme="minorHAnsi" w:cstheme="minorHAnsi"/>
          <w:szCs w:val="20"/>
        </w:rPr>
        <w:t>archivo</w:t>
      </w:r>
      <w:r w:rsidRPr="0064059C">
        <w:rPr>
          <w:rFonts w:asciiTheme="minorHAnsi" w:hAnsiTheme="minorHAnsi" w:cstheme="minorHAnsi"/>
          <w:szCs w:val="20"/>
        </w:rPr>
        <w:t xml:space="preserve"> m</w:t>
      </w:r>
      <w:r w:rsidR="00A766D9" w:rsidRPr="0064059C">
        <w:rPr>
          <w:rFonts w:asciiTheme="minorHAnsi" w:hAnsiTheme="minorHAnsi" w:cstheme="minorHAnsi"/>
          <w:szCs w:val="20"/>
        </w:rPr>
        <w:t>ás reciente de fecha diciembre de 2013, contiene una cantidad significativamente inferior a lo reportado en el documento de fecha de junio de 2013.</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 xml:space="preserve"> ATENDIDA</w:t>
      </w:r>
    </w:p>
    <w:p w:rsidR="009F4C73" w:rsidRPr="0064059C" w:rsidRDefault="00E22C5D" w:rsidP="009F4C73">
      <w:pPr>
        <w:pStyle w:val="Prrafodelista"/>
        <w:numPr>
          <w:ilvl w:val="0"/>
          <w:numId w:val="16"/>
        </w:numPr>
        <w:jc w:val="both"/>
        <w:rPr>
          <w:rFonts w:asciiTheme="minorHAnsi" w:hAnsiTheme="minorHAnsi" w:cstheme="minorHAnsi"/>
          <w:b/>
          <w:szCs w:val="20"/>
        </w:rPr>
      </w:pPr>
      <w:r w:rsidRPr="0064059C">
        <w:rPr>
          <w:rFonts w:asciiTheme="minorHAnsi" w:hAnsiTheme="minorHAnsi" w:cstheme="minorHAnsi"/>
          <w:szCs w:val="20"/>
        </w:rPr>
        <w:t xml:space="preserve">Con respecto a la información publicada se omite incluir información adicional que permita conocer claramente los conceptos que se reportan en la plantilla de personal, toda vez que se incluyen términos como para el caso de la prima vacacional en la que se indica “60%”, o en el caso de aguinaldo en el que se señala “60 días”, sin que se aclare el método o base de cálculo.  </w:t>
      </w:r>
      <w:r w:rsidR="0025411C" w:rsidRPr="0064059C">
        <w:rPr>
          <w:rFonts w:asciiTheme="minorHAnsi" w:hAnsiTheme="minorHAnsi" w:cstheme="minorHAnsi"/>
          <w:b/>
          <w:szCs w:val="20"/>
        </w:rPr>
        <w:t xml:space="preserve"> ATENDIDA</w:t>
      </w:r>
    </w:p>
    <w:p w:rsidR="00A766D9" w:rsidRPr="0064059C" w:rsidRDefault="00A766D9" w:rsidP="009F4C73">
      <w:pPr>
        <w:pStyle w:val="Prrafodelista"/>
        <w:numPr>
          <w:ilvl w:val="0"/>
          <w:numId w:val="16"/>
        </w:numPr>
        <w:jc w:val="both"/>
        <w:rPr>
          <w:rFonts w:asciiTheme="minorHAnsi" w:hAnsiTheme="minorHAnsi" w:cstheme="minorHAnsi"/>
          <w:b/>
          <w:szCs w:val="20"/>
        </w:rPr>
      </w:pPr>
      <w:r w:rsidRPr="0064059C">
        <w:rPr>
          <w:rFonts w:asciiTheme="minorHAnsi" w:hAnsiTheme="minorHAnsi" w:cstheme="minorHAnsi"/>
          <w:szCs w:val="20"/>
        </w:rPr>
        <w:t>Con respecto a la información publicada referente a los Consejeros se recomienda incorporar información referente a nombres,  ciudad de adscripción,  unidad administrativa de adscripción, remuneración mensual en términos brutos y desglosando cualquier deducción, percepción, prestación y compensación en dinero o en especie que reciban con respecto al ejercicio de sus funciones.</w:t>
      </w:r>
      <w:r w:rsidR="0025411C" w:rsidRPr="0064059C">
        <w:rPr>
          <w:rFonts w:asciiTheme="minorHAnsi" w:hAnsiTheme="minorHAnsi" w:cstheme="minorHAnsi"/>
          <w:b/>
          <w:szCs w:val="20"/>
        </w:rPr>
        <w:t xml:space="preserve"> NO ATENDIDA</w:t>
      </w:r>
    </w:p>
    <w:p w:rsidR="00E22C5D" w:rsidRPr="0064059C" w:rsidRDefault="00E22C5D" w:rsidP="009F4C73">
      <w:pPr>
        <w:jc w:val="both"/>
        <w:rPr>
          <w:rFonts w:asciiTheme="minorHAnsi" w:hAnsiTheme="minorHAnsi" w:cstheme="minorHAnsi"/>
          <w:b/>
          <w:szCs w:val="20"/>
        </w:rPr>
      </w:pPr>
      <w:r w:rsidRPr="0064059C">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BA361C" w:rsidRPr="0064059C" w:rsidRDefault="00E22C5D" w:rsidP="0089647A">
      <w:pPr>
        <w:pStyle w:val="Prrafodelista"/>
        <w:numPr>
          <w:ilvl w:val="0"/>
          <w:numId w:val="4"/>
        </w:numPr>
        <w:jc w:val="both"/>
        <w:rPr>
          <w:rFonts w:asciiTheme="minorHAnsi" w:hAnsiTheme="minorHAnsi" w:cstheme="minorHAnsi"/>
          <w:szCs w:val="20"/>
        </w:rPr>
      </w:pPr>
      <w:r w:rsidRPr="0064059C">
        <w:rPr>
          <w:rFonts w:asciiTheme="minorHAnsi" w:hAnsiTheme="minorHAnsi" w:cstheme="minorHAnsi"/>
          <w:szCs w:val="20"/>
        </w:rPr>
        <w:t xml:space="preserve">Se </w:t>
      </w:r>
      <w:r w:rsidR="00BA361C" w:rsidRPr="0064059C">
        <w:rPr>
          <w:rFonts w:asciiTheme="minorHAnsi" w:hAnsiTheme="minorHAnsi" w:cstheme="minorHAnsi"/>
          <w:szCs w:val="20"/>
        </w:rPr>
        <w:t>recomienda</w:t>
      </w:r>
      <w:r w:rsidRPr="0064059C">
        <w:rPr>
          <w:rFonts w:asciiTheme="minorHAnsi" w:hAnsiTheme="minorHAnsi" w:cstheme="minorHAnsi"/>
          <w:szCs w:val="20"/>
        </w:rPr>
        <w:t xml:space="preserve"> publicar </w:t>
      </w:r>
      <w:r w:rsidR="00BA361C" w:rsidRPr="0064059C">
        <w:t>publicarse el presupuesto de egresos aprobado para el ejercicio fiscal en curso, el cual deberá de publicarse por programas, por grupos y por partidas de gastos.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00673BE8" w:rsidRPr="0064059C">
        <w:t xml:space="preserve">  </w:t>
      </w:r>
      <w:r w:rsidR="00673BE8" w:rsidRPr="0064059C">
        <w:rPr>
          <w:rFonts w:asciiTheme="minorHAnsi" w:hAnsiTheme="minorHAnsi" w:cstheme="minorHAnsi"/>
          <w:b/>
          <w:szCs w:val="20"/>
        </w:rPr>
        <w:t>NO ATENDIDA</w:t>
      </w:r>
      <w:r w:rsidR="00BA361C" w:rsidRPr="0064059C">
        <w:tab/>
      </w:r>
    </w:p>
    <w:p w:rsidR="00E22C5D" w:rsidRPr="0064059C" w:rsidRDefault="0089647A" w:rsidP="00F135CE">
      <w:pPr>
        <w:pStyle w:val="Prrafodelista"/>
        <w:numPr>
          <w:ilvl w:val="0"/>
          <w:numId w:val="4"/>
        </w:numPr>
        <w:jc w:val="both"/>
        <w:rPr>
          <w:rFonts w:asciiTheme="minorHAnsi" w:hAnsiTheme="minorHAnsi" w:cstheme="minorHAnsi"/>
          <w:szCs w:val="20"/>
        </w:rPr>
      </w:pPr>
      <w:r w:rsidRPr="0064059C">
        <w:rPr>
          <w:rFonts w:asciiTheme="minorHAnsi" w:hAnsiTheme="minorHAnsi" w:cstheme="minorHAnsi"/>
          <w:szCs w:val="20"/>
        </w:rPr>
        <w:t>P</w:t>
      </w:r>
      <w:r w:rsidR="00E22C5D" w:rsidRPr="0064059C">
        <w:t xml:space="preserve">ara efectos comparativos el presupuesto de egresos aprobado y publicado en el Periódico Oficial del Estado del ejercicio fiscal en curso, así como el del ejercicio fiscal inmediato anterior. En caso de que exista presupuesto de egresos modificado, deberá </w:t>
      </w:r>
      <w:r w:rsidRPr="0064059C">
        <w:t xml:space="preserve">de publicarse en esta sección. </w:t>
      </w:r>
      <w:r w:rsidR="0025411C" w:rsidRPr="0064059C">
        <w:rPr>
          <w:rFonts w:asciiTheme="minorHAnsi" w:hAnsiTheme="minorHAnsi" w:cstheme="minorHAnsi"/>
          <w:b/>
          <w:szCs w:val="20"/>
        </w:rPr>
        <w:t>NO ATENDIDA</w:t>
      </w:r>
    </w:p>
    <w:p w:rsidR="00E22C5D" w:rsidRPr="0064059C" w:rsidRDefault="00E22C5D" w:rsidP="00F135CE">
      <w:pPr>
        <w:pStyle w:val="Prrafodelista"/>
        <w:numPr>
          <w:ilvl w:val="0"/>
          <w:numId w:val="4"/>
        </w:numPr>
        <w:jc w:val="both"/>
        <w:rPr>
          <w:rFonts w:asciiTheme="minorHAnsi" w:hAnsiTheme="minorHAnsi" w:cstheme="minorHAnsi"/>
          <w:b/>
          <w:szCs w:val="20"/>
        </w:rPr>
      </w:pPr>
      <w:r w:rsidRPr="0064059C">
        <w:rPr>
          <w:rFonts w:asciiTheme="minorHAnsi" w:hAnsiTheme="minorHAnsi" w:cstheme="minorHAnsi"/>
          <w:szCs w:val="20"/>
        </w:rPr>
        <w:t xml:space="preserve">Se deberán publicar </w:t>
      </w:r>
      <w:r w:rsidR="0089647A" w:rsidRPr="0064059C">
        <w:rPr>
          <w:rFonts w:asciiTheme="minorHAnsi" w:hAnsiTheme="minorHAnsi" w:cstheme="minorHAnsi"/>
          <w:szCs w:val="20"/>
        </w:rPr>
        <w:t xml:space="preserve">la totalidad de </w:t>
      </w:r>
      <w:r w:rsidRPr="0064059C">
        <w:rPr>
          <w:rFonts w:asciiTheme="minorHAnsi" w:hAnsiTheme="minorHAnsi" w:cstheme="minorHAnsi"/>
          <w:szCs w:val="20"/>
        </w:rPr>
        <w:t>los informes de su ejecución los cuales equiva</w:t>
      </w:r>
      <w:r w:rsidRPr="0064059C">
        <w:t xml:space="preserve">len a los  informes de avance de gestión financiera que señalan los artículos 9 y 16 de la Ley de Fiscalización Superior de los Recursos Públicos para el Estado de Baja California y sus </w:t>
      </w:r>
      <w:r w:rsidRPr="0064059C">
        <w:lastRenderedPageBreak/>
        <w:t xml:space="preserve">Municipios, por lo que deberán de contener al menos la información señalada en dichos artículos. La información deberá clasificarse por rubros y en cada uno de ellos señalar el vínculo al documento íntegro.  </w:t>
      </w:r>
      <w:r w:rsidR="0025411C" w:rsidRPr="0064059C">
        <w:rPr>
          <w:rFonts w:asciiTheme="minorHAnsi" w:hAnsiTheme="minorHAnsi" w:cstheme="minorHAnsi"/>
          <w:b/>
          <w:szCs w:val="20"/>
        </w:rPr>
        <w:t>NO ATENDIDA</w:t>
      </w:r>
    </w:p>
    <w:p w:rsidR="00E22C5D" w:rsidRPr="0064059C" w:rsidRDefault="00E22C5D" w:rsidP="00F135CE">
      <w:pPr>
        <w:pStyle w:val="Prrafodelista"/>
        <w:numPr>
          <w:ilvl w:val="0"/>
          <w:numId w:val="4"/>
        </w:numPr>
        <w:jc w:val="both"/>
        <w:rPr>
          <w:rFonts w:asciiTheme="minorHAnsi" w:hAnsiTheme="minorHAnsi" w:cstheme="minorHAnsi"/>
          <w:b/>
          <w:szCs w:val="20"/>
        </w:rPr>
      </w:pPr>
      <w:r w:rsidRPr="0064059C">
        <w:rPr>
          <w:rFonts w:asciiTheme="minorHAnsi" w:hAnsiTheme="minorHAnsi" w:cstheme="minorHAnsi"/>
          <w:szCs w:val="20"/>
        </w:rPr>
        <w:t>Con respecto a la deuda pública se deberá incluir la información correspondiente al  ejercicio en curso,  o en su caso, nota aclaratoria al respecto</w:t>
      </w:r>
      <w:r w:rsidR="0089647A" w:rsidRPr="0064059C">
        <w:rPr>
          <w:rFonts w:asciiTheme="minorHAnsi" w:hAnsiTheme="minorHAnsi" w:cstheme="minorHAnsi"/>
          <w:szCs w:val="20"/>
        </w:rPr>
        <w:t>.</w:t>
      </w:r>
      <w:r w:rsidR="0025411C" w:rsidRPr="0064059C">
        <w:rPr>
          <w:rFonts w:asciiTheme="minorHAnsi" w:hAnsiTheme="minorHAnsi" w:cstheme="minorHAnsi"/>
          <w:b/>
          <w:szCs w:val="20"/>
        </w:rPr>
        <w:t xml:space="preserve"> NO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IX.- Las enajenaciones de bienes que realicen por cualquier título o acto, indicando los motivos, beneficiarios o adquirientes, y los montos de las operaciones;</w:t>
      </w:r>
    </w:p>
    <w:p w:rsidR="00E22C5D" w:rsidRPr="0064059C" w:rsidRDefault="00E22C5D" w:rsidP="00E22C5D">
      <w:pPr>
        <w:ind w:firstLine="708"/>
        <w:jc w:val="both"/>
        <w:rPr>
          <w:rFonts w:asciiTheme="minorHAnsi" w:hAnsiTheme="minorHAnsi" w:cstheme="minorHAnsi"/>
          <w:szCs w:val="20"/>
        </w:rPr>
      </w:pPr>
      <w:r w:rsidRPr="0064059C">
        <w:rPr>
          <w:rFonts w:asciiTheme="minorHAnsi" w:hAnsiTheme="minorHAnsi" w:cstheme="minorHAnsi"/>
          <w:szCs w:val="20"/>
        </w:rPr>
        <w:t>No se emiten recomendaciones respecto a esta fracción.</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 Los permisos, concesiones y autorizaciones otorgadas, especificando sus titulares, concepto y vigencia;</w:t>
      </w:r>
    </w:p>
    <w:p w:rsidR="00E22C5D" w:rsidRPr="0064059C" w:rsidRDefault="00E22C5D" w:rsidP="00E22C5D">
      <w:pPr>
        <w:ind w:firstLine="708"/>
        <w:jc w:val="both"/>
        <w:rPr>
          <w:rFonts w:asciiTheme="minorHAnsi" w:hAnsiTheme="minorHAnsi" w:cstheme="minorHAnsi"/>
          <w:szCs w:val="20"/>
        </w:rPr>
      </w:pPr>
      <w:r w:rsidRPr="0064059C">
        <w:rPr>
          <w:rFonts w:asciiTheme="minorHAnsi" w:hAnsiTheme="minorHAnsi" w:cstheme="minorHAnsi"/>
          <w:szCs w:val="20"/>
        </w:rPr>
        <w:t>No se emiten recomendaciones respecto a esta fracción.</w:t>
      </w:r>
    </w:p>
    <w:p w:rsidR="00170628" w:rsidRPr="0064059C" w:rsidRDefault="00170628" w:rsidP="00170628">
      <w:pPr>
        <w:jc w:val="both"/>
        <w:rPr>
          <w:b/>
        </w:rPr>
      </w:pPr>
      <w:r w:rsidRPr="0064059C">
        <w:rPr>
          <w:b/>
        </w:rPr>
        <w:t>XI.- Los convenios celebrados con instituciones públicas o privadas;</w:t>
      </w:r>
      <w:r w:rsidRPr="0064059C">
        <w:rPr>
          <w:b/>
        </w:rPr>
        <w:tab/>
      </w:r>
      <w:r w:rsidRPr="0064059C">
        <w:rPr>
          <w:b/>
        </w:rPr>
        <w:tab/>
      </w:r>
    </w:p>
    <w:p w:rsidR="00170628" w:rsidRPr="0064059C" w:rsidRDefault="00170628" w:rsidP="00170628">
      <w:pPr>
        <w:ind w:left="426"/>
        <w:jc w:val="both"/>
      </w:pPr>
      <w:r w:rsidRPr="0064059C">
        <w:t>Se recomienda incluir en el listado de conveni</w:t>
      </w:r>
      <w:r w:rsidR="00A20CE6" w:rsidRPr="0064059C">
        <w:t>o</w:t>
      </w:r>
      <w:r w:rsidRPr="0064059C">
        <w:t xml:space="preserve">s publicados los siguientes datos: </w:t>
      </w:r>
    </w:p>
    <w:p w:rsidR="00170628" w:rsidRPr="0064059C" w:rsidRDefault="00170628" w:rsidP="00F135CE">
      <w:pPr>
        <w:pStyle w:val="Prrafodelista"/>
        <w:numPr>
          <w:ilvl w:val="0"/>
          <w:numId w:val="20"/>
        </w:numPr>
        <w:jc w:val="both"/>
      </w:pPr>
      <w:r w:rsidRPr="0064059C">
        <w:t>Objeto del convenio, y</w:t>
      </w:r>
      <w:r w:rsidR="0025411C" w:rsidRPr="0064059C">
        <w:t xml:space="preserve"> </w:t>
      </w:r>
      <w:r w:rsidR="0025411C" w:rsidRPr="0064059C">
        <w:rPr>
          <w:rFonts w:asciiTheme="minorHAnsi" w:hAnsiTheme="minorHAnsi" w:cstheme="minorHAnsi"/>
          <w:b/>
          <w:szCs w:val="20"/>
        </w:rPr>
        <w:t xml:space="preserve"> NO ATENDIDA</w:t>
      </w:r>
    </w:p>
    <w:p w:rsidR="00170628" w:rsidRPr="0064059C" w:rsidRDefault="00170628" w:rsidP="00F135CE">
      <w:pPr>
        <w:pStyle w:val="Prrafodelista"/>
        <w:numPr>
          <w:ilvl w:val="0"/>
          <w:numId w:val="20"/>
        </w:numPr>
        <w:jc w:val="both"/>
      </w:pPr>
      <w:r w:rsidRPr="0064059C">
        <w:t xml:space="preserve">Monto, </w:t>
      </w:r>
      <w:r w:rsidR="0025411C" w:rsidRPr="0064059C">
        <w:t xml:space="preserve"> </w:t>
      </w:r>
      <w:r w:rsidR="0025411C" w:rsidRPr="0064059C">
        <w:rPr>
          <w:rFonts w:asciiTheme="minorHAnsi" w:hAnsiTheme="minorHAnsi" w:cstheme="minorHAnsi"/>
          <w:b/>
          <w:szCs w:val="20"/>
        </w:rPr>
        <w:t>NO ATENDIDA</w:t>
      </w:r>
    </w:p>
    <w:p w:rsidR="00B54F9D" w:rsidRPr="0064059C" w:rsidRDefault="00B54F9D" w:rsidP="00F135CE">
      <w:pPr>
        <w:pStyle w:val="Prrafodelista"/>
        <w:numPr>
          <w:ilvl w:val="0"/>
          <w:numId w:val="20"/>
        </w:numPr>
        <w:jc w:val="both"/>
      </w:pPr>
      <w:r w:rsidRPr="0064059C">
        <w:t xml:space="preserve">Se recomienda actualizar esta fracción de acuerdo a los plazos </w:t>
      </w:r>
      <w:r w:rsidR="00DE1123" w:rsidRPr="0064059C">
        <w:t>establecidos</w:t>
      </w:r>
      <w:r w:rsidRPr="0064059C">
        <w:t xml:space="preserve"> en la </w:t>
      </w:r>
      <w:r w:rsidR="00B42633" w:rsidRPr="0064059C">
        <w:t>fracción</w:t>
      </w:r>
      <w:r w:rsidRPr="0064059C">
        <w:t xml:space="preserve"> II del </w:t>
      </w:r>
      <w:r w:rsidR="00B42633" w:rsidRPr="0064059C">
        <w:t>artículo</w:t>
      </w:r>
      <w:r w:rsidRPr="0064059C">
        <w:t xml:space="preserve"> 12 de la LTAIPBC.</w:t>
      </w:r>
      <w:r w:rsidR="0025411C" w:rsidRPr="0064059C">
        <w:t xml:space="preserve"> </w:t>
      </w:r>
      <w:r w:rsidR="0025411C" w:rsidRPr="0064059C">
        <w:rPr>
          <w:b/>
        </w:rPr>
        <w:t>ATENDIDA</w:t>
      </w:r>
    </w:p>
    <w:p w:rsidR="00E22C5D" w:rsidRPr="0064059C" w:rsidRDefault="00E22C5D" w:rsidP="00170628">
      <w:pPr>
        <w:tabs>
          <w:tab w:val="left" w:pos="3418"/>
        </w:tabs>
        <w:jc w:val="both"/>
        <w:rPr>
          <w:rFonts w:asciiTheme="minorHAnsi" w:hAnsiTheme="minorHAnsi" w:cstheme="minorHAnsi"/>
          <w:b/>
          <w:szCs w:val="20"/>
        </w:rPr>
      </w:pPr>
      <w:r w:rsidRPr="0064059C">
        <w:rPr>
          <w:rFonts w:asciiTheme="minorHAnsi" w:hAnsiTheme="minorHAnsi" w:cstheme="minorHAnsi"/>
          <w:b/>
          <w:szCs w:val="20"/>
        </w:rPr>
        <w:t>XII.- El padrón de proveedores;</w:t>
      </w:r>
      <w:r w:rsidRPr="0064059C">
        <w:rPr>
          <w:rFonts w:asciiTheme="minorHAnsi" w:hAnsiTheme="minorHAnsi" w:cstheme="minorHAnsi"/>
          <w:b/>
          <w:szCs w:val="20"/>
        </w:rPr>
        <w:tab/>
      </w:r>
    </w:p>
    <w:p w:rsidR="0004473B" w:rsidRPr="0064059C" w:rsidRDefault="0004473B" w:rsidP="00F135CE">
      <w:pPr>
        <w:pStyle w:val="Prrafodelista"/>
        <w:numPr>
          <w:ilvl w:val="0"/>
          <w:numId w:val="21"/>
        </w:numPr>
        <w:jc w:val="both"/>
      </w:pPr>
      <w:r w:rsidRPr="0064059C">
        <w:t>Se recomienda actualizar esta fracción de acuerdo a los plazos establecidos en la fracción II del artículo 12 de la L</w:t>
      </w:r>
      <w:r w:rsidR="00D72919" w:rsidRPr="0064059C">
        <w:t>TAIPBC</w:t>
      </w:r>
      <w:r w:rsidRPr="0064059C">
        <w:t xml:space="preserve"> (el documento indica que se trata de información de 2014, sin embargo la fecha de actualización señala el 31 de diciembre de 2013).</w:t>
      </w:r>
      <w:r w:rsidR="0025411C" w:rsidRPr="0064059C">
        <w:t xml:space="preserve"> </w:t>
      </w:r>
      <w:r w:rsidR="0025411C" w:rsidRPr="0064059C">
        <w:rPr>
          <w:b/>
        </w:rPr>
        <w:t>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XIII.- El padrón inmobiliario y el vehicular;</w:t>
      </w:r>
    </w:p>
    <w:p w:rsidR="00622788" w:rsidRPr="0064059C" w:rsidRDefault="00E22C5D" w:rsidP="00622788">
      <w:pPr>
        <w:jc w:val="both"/>
        <w:rPr>
          <w:rFonts w:asciiTheme="minorHAnsi" w:hAnsiTheme="minorHAnsi" w:cstheme="minorHAnsi"/>
          <w:szCs w:val="20"/>
        </w:rPr>
      </w:pPr>
      <w:r w:rsidRPr="0064059C">
        <w:rPr>
          <w:rFonts w:asciiTheme="minorHAnsi" w:hAnsiTheme="minorHAnsi" w:cstheme="minorHAnsi"/>
          <w:szCs w:val="20"/>
        </w:rPr>
        <w:t xml:space="preserve">Con respecto al padrón inmobiliario se </w:t>
      </w:r>
      <w:r w:rsidR="00622788" w:rsidRPr="0064059C">
        <w:rPr>
          <w:rFonts w:asciiTheme="minorHAnsi" w:hAnsiTheme="minorHAnsi" w:cstheme="minorHAnsi"/>
          <w:szCs w:val="20"/>
        </w:rPr>
        <w:t xml:space="preserve">recomienda </w:t>
      </w:r>
      <w:r w:rsidRPr="0064059C">
        <w:rPr>
          <w:rFonts w:asciiTheme="minorHAnsi" w:hAnsiTheme="minorHAnsi" w:cstheme="minorHAnsi"/>
          <w:szCs w:val="20"/>
        </w:rPr>
        <w:t xml:space="preserve"> publicar información que se encuadre a lo establecido en el artículo 21 de la Ley General de Biene</w:t>
      </w:r>
      <w:r w:rsidR="00622788" w:rsidRPr="0064059C">
        <w:rPr>
          <w:rFonts w:asciiTheme="minorHAnsi" w:hAnsiTheme="minorHAnsi" w:cstheme="minorHAnsi"/>
          <w:szCs w:val="20"/>
        </w:rPr>
        <w:t>s del Estado de Baja California, indicando los siguientes datos:</w:t>
      </w:r>
    </w:p>
    <w:p w:rsidR="00622788" w:rsidRPr="0064059C" w:rsidRDefault="00622788" w:rsidP="00622788">
      <w:pPr>
        <w:pStyle w:val="Prrafodelista"/>
        <w:numPr>
          <w:ilvl w:val="0"/>
          <w:numId w:val="24"/>
        </w:numPr>
        <w:jc w:val="both"/>
      </w:pPr>
      <w:r w:rsidRPr="0064059C">
        <w:t xml:space="preserve">Descripción del inmueble, </w:t>
      </w:r>
      <w:r w:rsidR="0025411C" w:rsidRPr="0064059C">
        <w:rPr>
          <w:rFonts w:asciiTheme="minorHAnsi" w:hAnsiTheme="minorHAnsi" w:cstheme="minorHAnsi"/>
          <w:b/>
          <w:szCs w:val="20"/>
        </w:rPr>
        <w:t>NO ATENDIDA</w:t>
      </w:r>
    </w:p>
    <w:p w:rsidR="00622788" w:rsidRPr="0064059C" w:rsidRDefault="00622788" w:rsidP="00622788">
      <w:pPr>
        <w:pStyle w:val="Prrafodelista"/>
        <w:numPr>
          <w:ilvl w:val="0"/>
          <w:numId w:val="24"/>
        </w:numPr>
        <w:jc w:val="both"/>
      </w:pPr>
      <w:r w:rsidRPr="0064059C">
        <w:t xml:space="preserve">La modalidad de la posesión (propiedad, usufructo, arrendamiento, comodato, depósito o cualquier otra modalidad), </w:t>
      </w:r>
      <w:r w:rsidR="0025411C" w:rsidRPr="0064059C">
        <w:rPr>
          <w:rFonts w:asciiTheme="minorHAnsi" w:hAnsiTheme="minorHAnsi" w:cstheme="minorHAnsi"/>
          <w:b/>
          <w:szCs w:val="20"/>
        </w:rPr>
        <w:t>NO ATENDIDA</w:t>
      </w:r>
    </w:p>
    <w:p w:rsidR="00622788" w:rsidRPr="0064059C" w:rsidRDefault="00622788" w:rsidP="00622788">
      <w:pPr>
        <w:pStyle w:val="Prrafodelista"/>
        <w:numPr>
          <w:ilvl w:val="0"/>
          <w:numId w:val="24"/>
        </w:numPr>
        <w:jc w:val="both"/>
      </w:pPr>
      <w:r w:rsidRPr="0064059C">
        <w:t xml:space="preserve">Describir el uso y destino de cada uno de los bienes inmuebles, </w:t>
      </w:r>
      <w:r w:rsidR="0025411C" w:rsidRPr="0064059C">
        <w:rPr>
          <w:rFonts w:asciiTheme="minorHAnsi" w:hAnsiTheme="minorHAnsi" w:cstheme="minorHAnsi"/>
          <w:b/>
          <w:szCs w:val="20"/>
        </w:rPr>
        <w:t>NO ATENDIDA</w:t>
      </w:r>
    </w:p>
    <w:p w:rsidR="00622788" w:rsidRPr="0064059C" w:rsidRDefault="00622788" w:rsidP="00622788">
      <w:pPr>
        <w:pStyle w:val="Prrafodelista"/>
        <w:numPr>
          <w:ilvl w:val="0"/>
          <w:numId w:val="24"/>
        </w:numPr>
        <w:jc w:val="both"/>
      </w:pPr>
      <w:r w:rsidRPr="0064059C">
        <w:lastRenderedPageBreak/>
        <w:t xml:space="preserve">Domicilio (Calle, número, colonia, ciudad, código postal), </w:t>
      </w:r>
      <w:r w:rsidR="0025411C" w:rsidRPr="0064059C">
        <w:rPr>
          <w:rFonts w:asciiTheme="minorHAnsi" w:hAnsiTheme="minorHAnsi" w:cstheme="minorHAnsi"/>
          <w:b/>
          <w:szCs w:val="20"/>
        </w:rPr>
        <w:t>NO ATENDIDA</w:t>
      </w:r>
    </w:p>
    <w:p w:rsidR="00622788" w:rsidRPr="0064059C" w:rsidRDefault="00622788" w:rsidP="00622788">
      <w:pPr>
        <w:pStyle w:val="Prrafodelista"/>
        <w:numPr>
          <w:ilvl w:val="0"/>
          <w:numId w:val="24"/>
        </w:numPr>
        <w:jc w:val="both"/>
      </w:pPr>
      <w:r w:rsidRPr="0064059C">
        <w:t>Código o clave catastral,</w:t>
      </w:r>
      <w:r w:rsidR="0025411C" w:rsidRPr="0064059C">
        <w:t xml:space="preserve"> </w:t>
      </w:r>
      <w:r w:rsidR="0025411C" w:rsidRPr="0064059C">
        <w:rPr>
          <w:rFonts w:asciiTheme="minorHAnsi" w:hAnsiTheme="minorHAnsi" w:cstheme="minorHAnsi"/>
          <w:b/>
          <w:szCs w:val="20"/>
        </w:rPr>
        <w:t>NO ATENDIDA</w:t>
      </w:r>
    </w:p>
    <w:p w:rsidR="00622788" w:rsidRPr="0064059C" w:rsidRDefault="00622788" w:rsidP="00622788">
      <w:pPr>
        <w:pStyle w:val="Prrafodelista"/>
        <w:numPr>
          <w:ilvl w:val="0"/>
          <w:numId w:val="24"/>
        </w:numPr>
        <w:jc w:val="both"/>
      </w:pPr>
      <w:r w:rsidRPr="0064059C">
        <w:t>Valor catastral del inmueble.</w:t>
      </w:r>
      <w:r w:rsidR="0025411C" w:rsidRPr="0064059C">
        <w:t xml:space="preserve">  </w:t>
      </w:r>
      <w:r w:rsidR="0025411C" w:rsidRPr="0064059C">
        <w:rPr>
          <w:rFonts w:asciiTheme="minorHAnsi" w:hAnsiTheme="minorHAnsi" w:cstheme="minorHAnsi"/>
          <w:b/>
          <w:szCs w:val="20"/>
        </w:rPr>
        <w:t>NO ATENDIDA</w:t>
      </w:r>
      <w:r w:rsidR="0025411C" w:rsidRPr="0064059C">
        <w:t xml:space="preserve"> </w:t>
      </w:r>
    </w:p>
    <w:p w:rsidR="000B4592" w:rsidRPr="0064059C" w:rsidRDefault="00622788" w:rsidP="000B4592">
      <w:pPr>
        <w:jc w:val="both"/>
        <w:rPr>
          <w:rFonts w:asciiTheme="minorHAnsi" w:hAnsiTheme="minorHAnsi" w:cstheme="minorHAnsi"/>
          <w:szCs w:val="20"/>
        </w:rPr>
      </w:pPr>
      <w:r w:rsidRPr="0064059C">
        <w:rPr>
          <w:rFonts w:asciiTheme="minorHAnsi" w:hAnsiTheme="minorHAnsi" w:cstheme="minorHAnsi"/>
          <w:szCs w:val="20"/>
        </w:rPr>
        <w:t xml:space="preserve">Con respecto al padrón vehicular se recomienda publicar los </w:t>
      </w:r>
      <w:r w:rsidR="00C95A52" w:rsidRPr="0064059C">
        <w:rPr>
          <w:rFonts w:asciiTheme="minorHAnsi" w:hAnsiTheme="minorHAnsi" w:cstheme="minorHAnsi"/>
          <w:szCs w:val="20"/>
        </w:rPr>
        <w:t>siguientes datos:</w:t>
      </w:r>
    </w:p>
    <w:p w:rsidR="00C95A52" w:rsidRPr="0064059C" w:rsidRDefault="00C95A52" w:rsidP="00C95A52">
      <w:pPr>
        <w:pStyle w:val="Prrafodelista"/>
        <w:numPr>
          <w:ilvl w:val="1"/>
          <w:numId w:val="25"/>
        </w:numPr>
        <w:jc w:val="both"/>
      </w:pPr>
      <w:r w:rsidRPr="0064059C">
        <w:t xml:space="preserve">Valor de compra, </w:t>
      </w:r>
      <w:r w:rsidR="0025411C" w:rsidRPr="0064059C">
        <w:rPr>
          <w:rFonts w:asciiTheme="minorHAnsi" w:hAnsiTheme="minorHAnsi" w:cstheme="minorHAnsi"/>
          <w:b/>
          <w:szCs w:val="20"/>
        </w:rPr>
        <w:t>ATENDIDA</w:t>
      </w:r>
    </w:p>
    <w:p w:rsidR="00C95A52" w:rsidRPr="0064059C" w:rsidRDefault="00C95A52" w:rsidP="00C95A52">
      <w:pPr>
        <w:pStyle w:val="Prrafodelista"/>
        <w:numPr>
          <w:ilvl w:val="1"/>
          <w:numId w:val="25"/>
        </w:numPr>
        <w:jc w:val="both"/>
      </w:pPr>
      <w:r w:rsidRPr="0064059C">
        <w:t xml:space="preserve">Funcionario o área responsable al que se encuentra asignado o bajo su resguardo, </w:t>
      </w:r>
      <w:r w:rsidR="0025411C" w:rsidRPr="0064059C">
        <w:rPr>
          <w:rFonts w:asciiTheme="minorHAnsi" w:hAnsiTheme="minorHAnsi" w:cstheme="minorHAnsi"/>
          <w:b/>
          <w:szCs w:val="20"/>
        </w:rPr>
        <w:t>NO ATENDIDA</w:t>
      </w:r>
    </w:p>
    <w:p w:rsidR="00C95A52" w:rsidRPr="0064059C" w:rsidRDefault="00C95A52" w:rsidP="00C95A52">
      <w:pPr>
        <w:pStyle w:val="Prrafodelista"/>
        <w:numPr>
          <w:ilvl w:val="1"/>
          <w:numId w:val="25"/>
        </w:numPr>
        <w:jc w:val="both"/>
      </w:pPr>
      <w:r w:rsidRPr="0064059C">
        <w:t xml:space="preserve">Puesto del funcionario al que se encuentra asignado, </w:t>
      </w:r>
      <w:r w:rsidR="0025411C" w:rsidRPr="0064059C">
        <w:rPr>
          <w:rFonts w:asciiTheme="minorHAnsi" w:hAnsiTheme="minorHAnsi" w:cstheme="minorHAnsi"/>
          <w:b/>
          <w:szCs w:val="20"/>
        </w:rPr>
        <w:t>NO ATENDIDA</w:t>
      </w:r>
    </w:p>
    <w:p w:rsidR="00414785" w:rsidRPr="0064059C" w:rsidRDefault="00C95A52" w:rsidP="00C95A52">
      <w:pPr>
        <w:pStyle w:val="Prrafodelista"/>
        <w:numPr>
          <w:ilvl w:val="1"/>
          <w:numId w:val="25"/>
        </w:numPr>
        <w:jc w:val="both"/>
      </w:pPr>
      <w:r w:rsidRPr="0064059C">
        <w:t>municipio donde se encuentra asignado el vehículo.</w:t>
      </w:r>
      <w:r w:rsidR="0025411C" w:rsidRPr="0064059C">
        <w:t xml:space="preserve"> </w:t>
      </w:r>
      <w:r w:rsidR="0025411C" w:rsidRPr="0064059C">
        <w:rPr>
          <w:rFonts w:asciiTheme="minorHAnsi" w:hAnsiTheme="minorHAnsi" w:cstheme="minorHAnsi"/>
          <w:b/>
          <w:szCs w:val="20"/>
        </w:rPr>
        <w:t>NO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XIV.- Las resoluciones de los procedimientos de responsabilidad administrativa, una vez que hayan causado estado;</w:t>
      </w:r>
    </w:p>
    <w:p w:rsidR="00E22C5D" w:rsidRPr="0064059C" w:rsidRDefault="00691782" w:rsidP="00F135CE">
      <w:pPr>
        <w:pStyle w:val="Prrafodelista"/>
        <w:numPr>
          <w:ilvl w:val="0"/>
          <w:numId w:val="19"/>
        </w:numPr>
        <w:jc w:val="both"/>
        <w:rPr>
          <w:rFonts w:asciiTheme="minorHAnsi" w:hAnsiTheme="minorHAnsi" w:cstheme="minorHAnsi"/>
          <w:b/>
          <w:szCs w:val="20"/>
        </w:rPr>
      </w:pPr>
      <w:r w:rsidRPr="0064059C">
        <w:rPr>
          <w:rFonts w:asciiTheme="minorHAnsi" w:hAnsiTheme="minorHAnsi" w:cstheme="minorHAnsi"/>
          <w:szCs w:val="20"/>
        </w:rPr>
        <w:t>Se recomienda incorporar al listado publicado el nombre del servidor público que fue objeto del procedimiento de responsabilidad administrativa.</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NO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XV.- Los montos asignados y criterios de acceso a los programas sociales;</w:t>
      </w:r>
    </w:p>
    <w:p w:rsidR="00E22C5D" w:rsidRPr="0064059C" w:rsidRDefault="00E22C5D" w:rsidP="00E22C5D">
      <w:pPr>
        <w:ind w:firstLine="708"/>
        <w:jc w:val="both"/>
        <w:rPr>
          <w:rFonts w:asciiTheme="minorHAnsi" w:hAnsiTheme="minorHAnsi" w:cstheme="minorHAnsi"/>
          <w:szCs w:val="20"/>
        </w:rPr>
      </w:pPr>
      <w:r w:rsidRPr="0064059C">
        <w:rPr>
          <w:rFonts w:asciiTheme="minorHAnsi" w:hAnsiTheme="minorHAnsi" w:cstheme="minorHAnsi"/>
          <w:szCs w:val="20"/>
        </w:rPr>
        <w:t>No se emiten recomendaciones respecto a esta fracción.</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XVI.- Las leyes, reglamentos, decretos, circulares y demás normas que les resulten aplicables;</w:t>
      </w:r>
    </w:p>
    <w:p w:rsidR="00E22C5D" w:rsidRPr="0064059C" w:rsidRDefault="00B814C0" w:rsidP="00F135CE">
      <w:pPr>
        <w:pStyle w:val="Prrafodelista"/>
        <w:numPr>
          <w:ilvl w:val="0"/>
          <w:numId w:val="8"/>
        </w:numPr>
        <w:jc w:val="both"/>
      </w:pPr>
      <w:r w:rsidRPr="0064059C">
        <w:t>Se recomienda publicar la versión conteniendo la última reforma a la normatividad aplicable (por ejemplo, en el portal de Congreso de los Diputados se puede consultar la Constitución Política de los Estados Unidos Mexicanos cuya última reforma fue publicada en el Diario Oficial de la Federación el día 10 de febrero de 2014.</w:t>
      </w:r>
      <w:r w:rsidR="0025411C" w:rsidRPr="0064059C">
        <w:rPr>
          <w:b/>
        </w:rPr>
        <w:t xml:space="preserve"> ATENDIDA</w:t>
      </w:r>
    </w:p>
    <w:p w:rsidR="00B814C0" w:rsidRPr="0064059C" w:rsidRDefault="00B814C0" w:rsidP="00F135CE">
      <w:pPr>
        <w:pStyle w:val="Prrafodelista"/>
        <w:numPr>
          <w:ilvl w:val="0"/>
          <w:numId w:val="8"/>
        </w:numPr>
        <w:jc w:val="both"/>
      </w:pPr>
      <w:r w:rsidRPr="0064059C">
        <w:t xml:space="preserve">Se recomienda </w:t>
      </w:r>
      <w:r w:rsidR="00A827D3" w:rsidRPr="0064059C">
        <w:t>incorporar al listado de la normatividad la fecha de su publicación en el Diario o Periódico Oficial.</w:t>
      </w:r>
      <w:r w:rsidR="0025411C" w:rsidRPr="0064059C">
        <w:t xml:space="preserve"> </w:t>
      </w:r>
      <w:r w:rsidR="0025411C" w:rsidRPr="0064059C">
        <w:rPr>
          <w:rFonts w:asciiTheme="minorHAnsi" w:hAnsiTheme="minorHAnsi" w:cstheme="minorHAnsi"/>
          <w:b/>
          <w:szCs w:val="20"/>
        </w:rPr>
        <w:t>NO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a).- La justificación técnica y financiera;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c).- En su caso, las modificaciones a las condiciones originales del contrato.</w:t>
      </w:r>
    </w:p>
    <w:p w:rsidR="001970AF" w:rsidRPr="0064059C" w:rsidRDefault="001970AF" w:rsidP="001970AF">
      <w:pPr>
        <w:jc w:val="both"/>
      </w:pPr>
      <w:r w:rsidRPr="0064059C">
        <w:lastRenderedPageBreak/>
        <w:t xml:space="preserve">Se recomienda publicar las convocatorias a concurso en términos de lo señalado en el artículo 26 de la Ley de Adquisiciones, Arrendamientos y Servicios para el Estado de Baja California, señalando:                               </w:t>
      </w:r>
    </w:p>
    <w:p w:rsidR="001970AF" w:rsidRPr="0064059C" w:rsidRDefault="001970AF" w:rsidP="001970AF">
      <w:pPr>
        <w:pStyle w:val="Prrafodelista"/>
        <w:numPr>
          <w:ilvl w:val="0"/>
          <w:numId w:val="18"/>
        </w:numPr>
        <w:jc w:val="both"/>
      </w:pPr>
      <w:r w:rsidRPr="0064059C">
        <w:t xml:space="preserve"> La justificación técnica y financiera;</w:t>
      </w:r>
      <w:r w:rsidR="0025411C" w:rsidRPr="0064059C">
        <w:t xml:space="preserve"> </w:t>
      </w:r>
      <w:r w:rsidR="0025411C" w:rsidRPr="0064059C">
        <w:rPr>
          <w:rFonts w:asciiTheme="minorHAnsi" w:hAnsiTheme="minorHAnsi" w:cstheme="minorHAnsi"/>
          <w:b/>
          <w:szCs w:val="20"/>
        </w:rPr>
        <w:t>NO ATENDIDA</w:t>
      </w:r>
    </w:p>
    <w:p w:rsidR="001970AF" w:rsidRPr="0064059C" w:rsidRDefault="001970AF" w:rsidP="001970AF">
      <w:pPr>
        <w:pStyle w:val="Prrafodelista"/>
        <w:numPr>
          <w:ilvl w:val="0"/>
          <w:numId w:val="18"/>
        </w:numPr>
        <w:jc w:val="both"/>
      </w:pPr>
      <w:r w:rsidRPr="0064059C">
        <w:t xml:space="preserve"> Número de Identificación precisa del contrato, el monto, el nombre o razón social de la persona física o moral con quien se haya celebrado el contrato, el plazo y demás condiciones de cumplimiento; y</w:t>
      </w:r>
      <w:r w:rsidR="0025411C" w:rsidRPr="0064059C">
        <w:t xml:space="preserve"> </w:t>
      </w:r>
      <w:r w:rsidR="0025411C" w:rsidRPr="0064059C">
        <w:rPr>
          <w:rFonts w:asciiTheme="minorHAnsi" w:hAnsiTheme="minorHAnsi" w:cstheme="minorHAnsi"/>
          <w:b/>
          <w:szCs w:val="20"/>
        </w:rPr>
        <w:t xml:space="preserve"> NO ATENDIDA</w:t>
      </w:r>
    </w:p>
    <w:p w:rsidR="001970AF" w:rsidRPr="0064059C" w:rsidRDefault="001970AF" w:rsidP="001970AF">
      <w:pPr>
        <w:pStyle w:val="Prrafodelista"/>
        <w:numPr>
          <w:ilvl w:val="0"/>
          <w:numId w:val="18"/>
        </w:numPr>
        <w:jc w:val="both"/>
      </w:pPr>
      <w:r w:rsidRPr="0064059C">
        <w:t>En su caso, las modificaciones a las condiciones originales del contrato.</w:t>
      </w:r>
      <w:r w:rsidR="0025411C" w:rsidRPr="0064059C">
        <w:t xml:space="preserve"> </w:t>
      </w:r>
      <w:r w:rsidR="0025411C" w:rsidRPr="0064059C">
        <w:rPr>
          <w:rFonts w:asciiTheme="minorHAnsi" w:hAnsiTheme="minorHAnsi" w:cstheme="minorHAnsi"/>
          <w:b/>
          <w:szCs w:val="20"/>
        </w:rPr>
        <w:t>NO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XVIII.- Las adjudicaciones directas, señalando los motivos y fundamentos legales aplicados;</w:t>
      </w:r>
    </w:p>
    <w:p w:rsidR="00E22C5D" w:rsidRPr="0064059C" w:rsidRDefault="00E22C5D" w:rsidP="00313AA1">
      <w:pPr>
        <w:jc w:val="both"/>
        <w:rPr>
          <w:rFonts w:asciiTheme="minorHAnsi" w:hAnsiTheme="minorHAnsi" w:cstheme="minorHAnsi"/>
          <w:szCs w:val="20"/>
        </w:rPr>
      </w:pPr>
      <w:r w:rsidRPr="0064059C">
        <w:rPr>
          <w:rFonts w:asciiTheme="minorHAnsi" w:hAnsiTheme="minorHAnsi" w:cstheme="minorHAnsi"/>
          <w:szCs w:val="20"/>
        </w:rPr>
        <w:t xml:space="preserve">La información publicada en esta fracción corresponde a una explicación valida que los Sujetos Obligados  de la LTAIPBC deben hacer referente a los montos máximos y mínimos, sin embargo, esta no constituye la información requerida por la fracción. Se </w:t>
      </w:r>
      <w:r w:rsidR="00313AA1" w:rsidRPr="0064059C">
        <w:rPr>
          <w:rFonts w:asciiTheme="minorHAnsi" w:hAnsiTheme="minorHAnsi" w:cstheme="minorHAnsi"/>
          <w:szCs w:val="20"/>
        </w:rPr>
        <w:t xml:space="preserve">recomienda </w:t>
      </w:r>
      <w:r w:rsidRPr="0064059C">
        <w:rPr>
          <w:rFonts w:asciiTheme="minorHAnsi" w:hAnsiTheme="minorHAnsi" w:cstheme="minorHAnsi"/>
          <w:szCs w:val="20"/>
        </w:rPr>
        <w:t>realizar una búsqueda exhaustiva a fin de determinar que no se han realizado operaciones que se encuadren en lo establecido en el Art.38 de la Ley de Adquisiciones, Arrendamientos y Servicios par</w:t>
      </w:r>
      <w:r w:rsidR="00825F91" w:rsidRPr="0064059C">
        <w:rPr>
          <w:rFonts w:asciiTheme="minorHAnsi" w:hAnsiTheme="minorHAnsi" w:cstheme="minorHAnsi"/>
          <w:szCs w:val="20"/>
        </w:rPr>
        <w:t>a el Estado de Baja California, señalando:</w:t>
      </w:r>
    </w:p>
    <w:p w:rsidR="00313AA1" w:rsidRPr="0064059C" w:rsidRDefault="00313AA1" w:rsidP="00313AA1">
      <w:pPr>
        <w:pStyle w:val="Prrafodelista"/>
        <w:numPr>
          <w:ilvl w:val="0"/>
          <w:numId w:val="23"/>
        </w:numPr>
        <w:jc w:val="both"/>
      </w:pPr>
      <w:r w:rsidRPr="0064059C">
        <w:t xml:space="preserve">El número y fecha del contrato, </w:t>
      </w:r>
      <w:r w:rsidR="0025411C" w:rsidRPr="0064059C">
        <w:rPr>
          <w:rFonts w:asciiTheme="minorHAnsi" w:hAnsiTheme="minorHAnsi" w:cstheme="minorHAnsi"/>
          <w:b/>
          <w:szCs w:val="20"/>
        </w:rPr>
        <w:t>NO ATENDIDA</w:t>
      </w:r>
    </w:p>
    <w:p w:rsidR="00313AA1" w:rsidRPr="0064059C" w:rsidRDefault="00313AA1" w:rsidP="00313AA1">
      <w:pPr>
        <w:pStyle w:val="Prrafodelista"/>
        <w:numPr>
          <w:ilvl w:val="0"/>
          <w:numId w:val="23"/>
        </w:numPr>
        <w:jc w:val="both"/>
      </w:pPr>
      <w:r w:rsidRPr="0064059C">
        <w:t xml:space="preserve">motivos y fundamentos legales aplicados, </w:t>
      </w:r>
      <w:r w:rsidR="0025411C" w:rsidRPr="0064059C">
        <w:rPr>
          <w:rFonts w:asciiTheme="minorHAnsi" w:hAnsiTheme="minorHAnsi" w:cstheme="minorHAnsi"/>
          <w:b/>
          <w:szCs w:val="20"/>
        </w:rPr>
        <w:t>NO ATENDIDA</w:t>
      </w:r>
    </w:p>
    <w:p w:rsidR="00313AA1" w:rsidRPr="0064059C" w:rsidRDefault="00313AA1" w:rsidP="00313AA1">
      <w:pPr>
        <w:pStyle w:val="Prrafodelista"/>
        <w:numPr>
          <w:ilvl w:val="0"/>
          <w:numId w:val="23"/>
        </w:numPr>
        <w:jc w:val="both"/>
      </w:pPr>
      <w:r w:rsidRPr="0064059C">
        <w:t xml:space="preserve">Nombre de la persona física o moral adjudicada, </w:t>
      </w:r>
      <w:r w:rsidR="0025411C" w:rsidRPr="0064059C">
        <w:rPr>
          <w:rFonts w:asciiTheme="minorHAnsi" w:hAnsiTheme="minorHAnsi" w:cstheme="minorHAnsi"/>
          <w:b/>
          <w:szCs w:val="20"/>
        </w:rPr>
        <w:t>NO ATENDIDA</w:t>
      </w:r>
    </w:p>
    <w:p w:rsidR="00313AA1" w:rsidRPr="0064059C" w:rsidRDefault="00313AA1" w:rsidP="00313AA1">
      <w:pPr>
        <w:pStyle w:val="Prrafodelista"/>
        <w:numPr>
          <w:ilvl w:val="0"/>
          <w:numId w:val="23"/>
        </w:numPr>
        <w:jc w:val="both"/>
      </w:pPr>
      <w:r w:rsidRPr="0064059C">
        <w:t>Monto y plazo de entrega o de ejecución de los servicios u obra.</w:t>
      </w:r>
      <w:r w:rsidR="0025411C" w:rsidRPr="0064059C">
        <w:t xml:space="preserve"> </w:t>
      </w:r>
      <w:r w:rsidR="0025411C" w:rsidRPr="0064059C">
        <w:rPr>
          <w:rFonts w:asciiTheme="minorHAnsi" w:hAnsiTheme="minorHAnsi" w:cstheme="minorHAnsi"/>
          <w:b/>
          <w:szCs w:val="20"/>
        </w:rPr>
        <w:t>NO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B6659" w:rsidRPr="0064059C" w:rsidRDefault="00E22C5D" w:rsidP="00BB6659">
      <w:pPr>
        <w:pStyle w:val="Prrafodelista"/>
        <w:numPr>
          <w:ilvl w:val="0"/>
          <w:numId w:val="11"/>
        </w:numPr>
        <w:jc w:val="both"/>
        <w:rPr>
          <w:rFonts w:asciiTheme="minorHAnsi" w:hAnsiTheme="minorHAnsi" w:cstheme="minorHAnsi"/>
          <w:szCs w:val="20"/>
        </w:rPr>
      </w:pPr>
      <w:r w:rsidRPr="0064059C">
        <w:rPr>
          <w:rFonts w:asciiTheme="minorHAnsi" w:hAnsiTheme="minorHAnsi" w:cstheme="minorHAnsi"/>
          <w:szCs w:val="20"/>
        </w:rPr>
        <w:t>Se deberá incluir en el documento actualmente publicado el número de contrato para cada uno de los registros, toda vez que como resultado de la revisión se detectó la omisión de su publicación</w:t>
      </w:r>
      <w:r w:rsidR="00CA3174" w:rsidRPr="0064059C">
        <w:rPr>
          <w:rFonts w:asciiTheme="minorHAnsi" w:hAnsiTheme="minorHAnsi" w:cstheme="minorHAnsi"/>
          <w:szCs w:val="20"/>
        </w:rPr>
        <w:t>.</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 xml:space="preserve">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XX.- El domicilio, número telefónico y la dirección electrónica de la Unidad de Transparencia, así como del Órgano Garante;</w:t>
      </w:r>
    </w:p>
    <w:p w:rsidR="00E22C5D" w:rsidRPr="0064059C" w:rsidRDefault="00E22C5D" w:rsidP="00F135CE">
      <w:pPr>
        <w:pStyle w:val="Prrafodelista"/>
        <w:numPr>
          <w:ilvl w:val="0"/>
          <w:numId w:val="15"/>
        </w:numPr>
        <w:jc w:val="both"/>
        <w:rPr>
          <w:rFonts w:asciiTheme="minorHAnsi" w:hAnsiTheme="minorHAnsi" w:cstheme="minorHAnsi"/>
          <w:szCs w:val="20"/>
        </w:rPr>
      </w:pPr>
      <w:r w:rsidRPr="0064059C">
        <w:rPr>
          <w:rFonts w:asciiTheme="minorHAnsi" w:hAnsiTheme="minorHAnsi" w:cstheme="minorHAnsi"/>
          <w:szCs w:val="20"/>
        </w:rPr>
        <w:t xml:space="preserve">Con respecto al Órgano Garante, se </w:t>
      </w:r>
      <w:r w:rsidR="00F90325" w:rsidRPr="0064059C">
        <w:rPr>
          <w:rFonts w:asciiTheme="minorHAnsi" w:hAnsiTheme="minorHAnsi" w:cstheme="minorHAnsi"/>
          <w:szCs w:val="20"/>
        </w:rPr>
        <w:t xml:space="preserve">recomienda incluir los datos correspondientes al Titular de la Unidad de Transparencia. </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XXI.- La relación de solicitudes de acceso a la información pública y las respuestas que se les den;</w:t>
      </w:r>
    </w:p>
    <w:p w:rsidR="00B025AE" w:rsidRPr="0064059C" w:rsidRDefault="00E22C5D" w:rsidP="00F135CE">
      <w:pPr>
        <w:pStyle w:val="Prrafodelista"/>
        <w:numPr>
          <w:ilvl w:val="0"/>
          <w:numId w:val="12"/>
        </w:numPr>
        <w:jc w:val="both"/>
      </w:pPr>
      <w:r w:rsidRPr="0064059C">
        <w:t xml:space="preserve">Adicionalmente a lo que actualmente se publica se deberá incorporar al listado </w:t>
      </w:r>
      <w:r w:rsidR="00B025AE" w:rsidRPr="0064059C">
        <w:t>la fecha de respuesta a la solicitud.</w:t>
      </w:r>
      <w:r w:rsidR="00BA4F13" w:rsidRPr="0064059C">
        <w:t xml:space="preserve"> (expresada con el formato día/mes/año),</w:t>
      </w:r>
      <w:r w:rsidR="0025411C" w:rsidRPr="0064059C">
        <w:rPr>
          <w:rFonts w:asciiTheme="minorHAnsi" w:hAnsiTheme="minorHAnsi" w:cstheme="minorHAnsi"/>
          <w:b/>
          <w:szCs w:val="20"/>
        </w:rPr>
        <w:t xml:space="preserve"> NO ATENDIDA</w:t>
      </w:r>
    </w:p>
    <w:p w:rsidR="00BA4F13" w:rsidRPr="0064059C" w:rsidRDefault="00BA4F13" w:rsidP="00F135CE">
      <w:pPr>
        <w:pStyle w:val="Prrafodelista"/>
        <w:numPr>
          <w:ilvl w:val="0"/>
          <w:numId w:val="12"/>
        </w:numPr>
        <w:jc w:val="both"/>
      </w:pPr>
      <w:r w:rsidRPr="0064059C">
        <w:t xml:space="preserve">Se recomienda publicar la fecha </w:t>
      </w:r>
      <w:r w:rsidR="00B814C0" w:rsidRPr="0064059C">
        <w:t>precisa</w:t>
      </w:r>
      <w:r w:rsidRPr="0064059C">
        <w:t xml:space="preserve"> de actualización de la información</w:t>
      </w:r>
      <w:r w:rsidR="004028AC" w:rsidRPr="0064059C">
        <w:t>.</w:t>
      </w:r>
      <w:r w:rsidR="0025411C" w:rsidRPr="0064059C">
        <w:t xml:space="preserve"> </w:t>
      </w:r>
      <w:r w:rsidR="0025411C" w:rsidRPr="0064059C">
        <w:rPr>
          <w:b/>
        </w:rPr>
        <w:t>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lastRenderedPageBreak/>
        <w:t>XXII La relación de los servidores públicos comisionados fuera de su área de adscripción por cualquier causa, incluso de carácter sindical;</w:t>
      </w:r>
    </w:p>
    <w:p w:rsidR="00E22C5D" w:rsidRPr="0064059C" w:rsidRDefault="00E22C5D" w:rsidP="00CD13D2">
      <w:pPr>
        <w:pStyle w:val="Sinespaciado"/>
      </w:pPr>
      <w:r w:rsidRPr="0064059C">
        <w:t>No se emiten recomendaciones respecto a esta fracción.</w:t>
      </w:r>
    </w:p>
    <w:p w:rsidR="00CD13D2" w:rsidRPr="0064059C" w:rsidRDefault="00CD13D2" w:rsidP="00CD13D2">
      <w:pPr>
        <w:pStyle w:val="Sinespaciado"/>
      </w:pP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XXIII.- Los dictámenes de las auditorías que se practiquen a los sujetos obligados;</w:t>
      </w:r>
    </w:p>
    <w:p w:rsidR="004300AB" w:rsidRPr="0064059C" w:rsidRDefault="004300AB" w:rsidP="00F135CE">
      <w:pPr>
        <w:pStyle w:val="Prrafodelista"/>
        <w:numPr>
          <w:ilvl w:val="0"/>
          <w:numId w:val="13"/>
        </w:numPr>
        <w:jc w:val="both"/>
        <w:rPr>
          <w:rFonts w:asciiTheme="minorHAnsi" w:hAnsiTheme="minorHAnsi" w:cstheme="minorHAnsi"/>
          <w:szCs w:val="20"/>
        </w:rPr>
      </w:pPr>
      <w:r w:rsidRPr="0064059C">
        <w:rPr>
          <w:rFonts w:asciiTheme="minorHAnsi" w:hAnsiTheme="minorHAnsi" w:cstheme="minorHAnsi"/>
          <w:szCs w:val="20"/>
        </w:rPr>
        <w:t xml:space="preserve">Se recomienda publicar </w:t>
      </w:r>
      <w:r w:rsidR="00E22C5D" w:rsidRPr="0064059C">
        <w:rPr>
          <w:rFonts w:asciiTheme="minorHAnsi" w:hAnsiTheme="minorHAnsi" w:cstheme="minorHAnsi"/>
          <w:szCs w:val="20"/>
        </w:rPr>
        <w:t xml:space="preserve"> información de los dictámenes de la cuenta pública realizados por el Órgano Superior de Fiscalización del Estado de Baja California y en su caso de auditores externos. Se señala lo anterior debido a que, al realizar una consulta al Portal del Órgano Superior de Fiscalización, se puede detectar que el caso  del IEPCBC se encuentra disponible para su consulta el Informe de Resultados de la Revisión de la cuenta pública anual por el ejercicio fiscal 2011. Este documento se emite como resultado de una auditoría financiera y puede accesar en la dirección: </w:t>
      </w:r>
      <w:hyperlink r:id="rId8" w:history="1">
        <w:r w:rsidRPr="0064059C">
          <w:rPr>
            <w:rStyle w:val="Hipervnculo"/>
          </w:rPr>
          <w:t>http://www.ofsbc.gob.mx/ArchivosInternet%5C0772836846-331_IEPC%202011.pdf</w:t>
        </w:r>
      </w:hyperlink>
      <w:r w:rsidR="0025411C" w:rsidRPr="0064059C">
        <w:t xml:space="preserve">         </w:t>
      </w:r>
      <w:r w:rsidR="0025411C" w:rsidRPr="0064059C">
        <w:rPr>
          <w:rFonts w:asciiTheme="minorHAnsi" w:hAnsiTheme="minorHAnsi" w:cstheme="minorHAnsi"/>
          <w:b/>
          <w:szCs w:val="20"/>
        </w:rPr>
        <w:t>NO ATENDIDA</w:t>
      </w:r>
    </w:p>
    <w:p w:rsidR="00E22C5D" w:rsidRPr="0064059C" w:rsidRDefault="00E22C5D" w:rsidP="00F135CE">
      <w:pPr>
        <w:pStyle w:val="Prrafodelista"/>
        <w:numPr>
          <w:ilvl w:val="0"/>
          <w:numId w:val="13"/>
        </w:numPr>
        <w:jc w:val="both"/>
        <w:rPr>
          <w:rFonts w:asciiTheme="minorHAnsi" w:hAnsiTheme="minorHAnsi" w:cstheme="minorHAnsi"/>
          <w:szCs w:val="20"/>
        </w:rPr>
      </w:pPr>
      <w:r w:rsidRPr="0064059C">
        <w:rPr>
          <w:rFonts w:asciiTheme="minorHAnsi" w:hAnsiTheme="minorHAnsi" w:cstheme="minorHAnsi"/>
          <w:szCs w:val="20"/>
        </w:rPr>
        <w:t>Se recomienda señalar el tipo de auditoría (integral, específica, de programas, de desempeño, de control, de seguimiento y otra</w:t>
      </w:r>
      <w:r w:rsidR="004300AB" w:rsidRPr="0064059C">
        <w:rPr>
          <w:rFonts w:asciiTheme="minorHAnsi" w:hAnsiTheme="minorHAnsi" w:cstheme="minorHAnsi"/>
          <w:szCs w:val="20"/>
        </w:rPr>
        <w:t>s.</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NO ATENDIDA</w:t>
      </w:r>
    </w:p>
    <w:p w:rsidR="00E22C5D" w:rsidRPr="0064059C" w:rsidRDefault="00E22C5D" w:rsidP="00F135CE">
      <w:pPr>
        <w:pStyle w:val="Prrafodelista"/>
        <w:numPr>
          <w:ilvl w:val="0"/>
          <w:numId w:val="13"/>
        </w:numPr>
        <w:jc w:val="both"/>
        <w:rPr>
          <w:rFonts w:asciiTheme="minorHAnsi" w:hAnsiTheme="minorHAnsi" w:cstheme="minorHAnsi"/>
          <w:szCs w:val="20"/>
        </w:rPr>
      </w:pPr>
      <w:r w:rsidRPr="0064059C">
        <w:rPr>
          <w:rFonts w:asciiTheme="minorHAnsi" w:hAnsiTheme="minorHAnsi" w:cstheme="minorHAnsi"/>
          <w:szCs w:val="20"/>
        </w:rPr>
        <w:t>Número y tipo de observaciones,  observaciones solventadas</w:t>
      </w:r>
      <w:r w:rsidR="004300AB" w:rsidRPr="0064059C">
        <w:rPr>
          <w:rFonts w:asciiTheme="minorHAnsi" w:hAnsiTheme="minorHAnsi" w:cstheme="minorHAnsi"/>
          <w:szCs w:val="20"/>
        </w:rPr>
        <w:t>; y,</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NO ATENDIDA</w:t>
      </w:r>
    </w:p>
    <w:p w:rsidR="00E22C5D" w:rsidRPr="0064059C" w:rsidRDefault="00E22C5D" w:rsidP="00F135CE">
      <w:pPr>
        <w:pStyle w:val="Prrafodelista"/>
        <w:numPr>
          <w:ilvl w:val="0"/>
          <w:numId w:val="13"/>
        </w:numPr>
        <w:jc w:val="both"/>
        <w:rPr>
          <w:rFonts w:asciiTheme="minorHAnsi" w:hAnsiTheme="minorHAnsi" w:cstheme="minorHAnsi"/>
          <w:szCs w:val="20"/>
        </w:rPr>
      </w:pPr>
      <w:r w:rsidRPr="0064059C">
        <w:rPr>
          <w:rFonts w:asciiTheme="minorHAnsi" w:hAnsiTheme="minorHAnsi" w:cstheme="minorHAnsi"/>
          <w:szCs w:val="20"/>
        </w:rPr>
        <w:t>Vínculo a copia íntegra del informe de auditoría o dictamen.</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 xml:space="preserve"> NO ATENDIDA</w:t>
      </w:r>
    </w:p>
    <w:p w:rsidR="00550A80" w:rsidRPr="0064059C" w:rsidRDefault="00550A80" w:rsidP="00550A80">
      <w:pPr>
        <w:pStyle w:val="Prrafodelista"/>
        <w:ind w:left="1068"/>
        <w:jc w:val="both"/>
        <w:rPr>
          <w:rFonts w:asciiTheme="minorHAnsi" w:hAnsiTheme="minorHAnsi" w:cstheme="minorHAnsi"/>
          <w:szCs w:val="20"/>
        </w:rPr>
      </w:pP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XXIV.-Los informes que por disposición legal generen los sujetos obligados; y</w:t>
      </w:r>
    </w:p>
    <w:p w:rsidR="00E22C5D" w:rsidRPr="0064059C" w:rsidRDefault="00E22C5D" w:rsidP="00F135CE">
      <w:pPr>
        <w:pStyle w:val="Prrafodelista"/>
        <w:numPr>
          <w:ilvl w:val="0"/>
          <w:numId w:val="14"/>
        </w:numPr>
        <w:jc w:val="both"/>
        <w:rPr>
          <w:rFonts w:asciiTheme="minorHAnsi" w:hAnsiTheme="minorHAnsi" w:cstheme="minorHAnsi"/>
          <w:szCs w:val="20"/>
        </w:rPr>
      </w:pPr>
      <w:r w:rsidRPr="0064059C">
        <w:rPr>
          <w:rFonts w:asciiTheme="minorHAnsi" w:hAnsiTheme="minorHAnsi" w:cstheme="minorHAnsi"/>
          <w:szCs w:val="20"/>
        </w:rPr>
        <w:t>Se recomienda incluir</w:t>
      </w:r>
      <w:r w:rsidR="00532823" w:rsidRPr="0064059C">
        <w:rPr>
          <w:rFonts w:asciiTheme="minorHAnsi" w:hAnsiTheme="minorHAnsi" w:cstheme="minorHAnsi"/>
          <w:szCs w:val="20"/>
        </w:rPr>
        <w:t xml:space="preserve"> en el listado </w:t>
      </w:r>
      <w:r w:rsidR="00550A80" w:rsidRPr="0064059C">
        <w:rPr>
          <w:rFonts w:asciiTheme="minorHAnsi" w:hAnsiTheme="minorHAnsi" w:cstheme="minorHAnsi"/>
          <w:szCs w:val="20"/>
        </w:rPr>
        <w:t>publicado</w:t>
      </w:r>
      <w:r w:rsidRPr="0064059C">
        <w:rPr>
          <w:rFonts w:asciiTheme="minorHAnsi" w:hAnsiTheme="minorHAnsi" w:cstheme="minorHAnsi"/>
          <w:szCs w:val="20"/>
        </w:rPr>
        <w:t xml:space="preserve"> el fundamento legal por el cual es presentado.</w:t>
      </w:r>
      <w:r w:rsidR="0025411C" w:rsidRPr="0064059C">
        <w:rPr>
          <w:rFonts w:asciiTheme="minorHAnsi" w:hAnsiTheme="minorHAnsi" w:cstheme="minorHAnsi"/>
          <w:szCs w:val="20"/>
        </w:rPr>
        <w:t xml:space="preserve">  </w:t>
      </w:r>
      <w:r w:rsidR="0025411C" w:rsidRPr="0064059C">
        <w:rPr>
          <w:rFonts w:asciiTheme="minorHAnsi" w:hAnsiTheme="minorHAnsi" w:cstheme="minorHAnsi"/>
          <w:b/>
          <w:szCs w:val="20"/>
        </w:rPr>
        <w:t>NO ATENDIDA</w:t>
      </w:r>
    </w:p>
    <w:p w:rsidR="00E22C5D" w:rsidRPr="0064059C" w:rsidRDefault="00E22C5D" w:rsidP="00E22C5D">
      <w:pPr>
        <w:jc w:val="both"/>
        <w:rPr>
          <w:rFonts w:asciiTheme="minorHAnsi" w:hAnsiTheme="minorHAnsi" w:cstheme="minorHAnsi"/>
          <w:b/>
          <w:szCs w:val="20"/>
        </w:rPr>
      </w:pPr>
      <w:r w:rsidRPr="0064059C">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E22C5D" w:rsidRPr="0064059C" w:rsidRDefault="00E22C5D" w:rsidP="00E22C5D">
      <w:pPr>
        <w:ind w:firstLine="708"/>
        <w:jc w:val="both"/>
        <w:rPr>
          <w:rFonts w:asciiTheme="minorHAnsi" w:hAnsiTheme="minorHAnsi" w:cstheme="minorHAnsi"/>
          <w:szCs w:val="20"/>
        </w:rPr>
      </w:pPr>
      <w:r w:rsidRPr="0064059C">
        <w:rPr>
          <w:rFonts w:asciiTheme="minorHAnsi" w:hAnsiTheme="minorHAnsi" w:cstheme="minorHAnsi"/>
          <w:szCs w:val="20"/>
        </w:rPr>
        <w:t>No se emiten recomendaciones respecto a esta fracción.</w:t>
      </w:r>
    </w:p>
    <w:p w:rsidR="00E22C5D" w:rsidRPr="0064059C" w:rsidRDefault="00E22C5D" w:rsidP="00E22C5D">
      <w:pPr>
        <w:autoSpaceDE w:val="0"/>
        <w:autoSpaceDN w:val="0"/>
        <w:adjustRightInd w:val="0"/>
        <w:spacing w:after="0" w:line="240" w:lineRule="auto"/>
        <w:jc w:val="both"/>
        <w:rPr>
          <w:rFonts w:asciiTheme="minorHAnsi" w:hAnsiTheme="minorHAnsi"/>
          <w:color w:val="000000"/>
          <w:lang w:eastAsia="es-MX"/>
        </w:rPr>
      </w:pPr>
      <w:r w:rsidRPr="0064059C">
        <w:rPr>
          <w:rFonts w:asciiTheme="minorHAnsi" w:hAnsiTheme="minorHAnsi" w:cstheme="minorHAnsi"/>
          <w:b/>
          <w:szCs w:val="20"/>
        </w:rPr>
        <w:t>Artículo 18.- Además de la información que le resulte aplicable contenida en el artículo 11 de esta Ley, el Instituto Electoral y de Participación Ciudadana del Estado de Baja California, deberá dar a conocer aquella que con respecto a los partidos políticos, señale la ley electoral.</w:t>
      </w:r>
    </w:p>
    <w:p w:rsidR="00E22C5D" w:rsidRPr="0064059C" w:rsidRDefault="00E22C5D" w:rsidP="00E22C5D">
      <w:pPr>
        <w:autoSpaceDE w:val="0"/>
        <w:autoSpaceDN w:val="0"/>
        <w:adjustRightInd w:val="0"/>
        <w:spacing w:after="0" w:line="240" w:lineRule="auto"/>
        <w:jc w:val="both"/>
        <w:rPr>
          <w:rFonts w:asciiTheme="minorHAnsi" w:hAnsiTheme="minorHAnsi"/>
          <w:color w:val="000000"/>
          <w:lang w:eastAsia="es-MX"/>
        </w:rPr>
      </w:pPr>
      <w:r w:rsidRPr="0064059C">
        <w:rPr>
          <w:rFonts w:asciiTheme="minorHAnsi" w:hAnsiTheme="minorHAnsi"/>
          <w:color w:val="000000"/>
          <w:lang w:eastAsia="es-MX"/>
        </w:rPr>
        <w:t xml:space="preserve"> </w:t>
      </w:r>
    </w:p>
    <w:p w:rsidR="005B00B7" w:rsidRPr="0064059C" w:rsidRDefault="00E22C5D" w:rsidP="00F135CE">
      <w:pPr>
        <w:pStyle w:val="Prrafodelista"/>
        <w:numPr>
          <w:ilvl w:val="0"/>
          <w:numId w:val="17"/>
        </w:numPr>
        <w:autoSpaceDE w:val="0"/>
        <w:autoSpaceDN w:val="0"/>
        <w:adjustRightInd w:val="0"/>
        <w:spacing w:after="0" w:line="240" w:lineRule="auto"/>
        <w:jc w:val="both"/>
        <w:rPr>
          <w:rFonts w:asciiTheme="minorHAnsi" w:hAnsiTheme="minorHAnsi"/>
          <w:color w:val="000000"/>
          <w:lang w:eastAsia="es-MX"/>
        </w:rPr>
      </w:pPr>
      <w:r w:rsidRPr="0064059C">
        <w:rPr>
          <w:rFonts w:asciiTheme="minorHAnsi" w:hAnsiTheme="minorHAnsi"/>
          <w:color w:val="000000"/>
          <w:lang w:eastAsia="es-MX"/>
        </w:rPr>
        <w:t xml:space="preserve">Se </w:t>
      </w:r>
      <w:r w:rsidR="00EE3B4C" w:rsidRPr="0064059C">
        <w:rPr>
          <w:rFonts w:asciiTheme="minorHAnsi" w:hAnsiTheme="minorHAnsi"/>
          <w:color w:val="000000"/>
          <w:lang w:eastAsia="es-MX"/>
        </w:rPr>
        <w:t>recomienda</w:t>
      </w:r>
      <w:r w:rsidRPr="0064059C">
        <w:rPr>
          <w:rFonts w:asciiTheme="minorHAnsi" w:hAnsiTheme="minorHAnsi"/>
          <w:color w:val="000000"/>
          <w:lang w:eastAsia="es-MX"/>
        </w:rPr>
        <w:t xml:space="preserve"> publicar la totalidad de la información señalada en el art. 101 de la Ley de Instituciones y Procedimientos Electorales de Baja California, para algunos de los partidos políticos con registro en el estado, toda vez que la revisión de una muestra de la inf</w:t>
      </w:r>
      <w:r w:rsidR="0061753E" w:rsidRPr="0064059C">
        <w:rPr>
          <w:rFonts w:asciiTheme="minorHAnsi" w:hAnsiTheme="minorHAnsi"/>
          <w:color w:val="000000"/>
          <w:lang w:eastAsia="es-MX"/>
        </w:rPr>
        <w:t xml:space="preserve">ormación aquí publicada, </w:t>
      </w:r>
      <w:r w:rsidR="00276167" w:rsidRPr="0064059C">
        <w:rPr>
          <w:rFonts w:asciiTheme="minorHAnsi" w:hAnsiTheme="minorHAnsi"/>
          <w:color w:val="000000"/>
          <w:lang w:eastAsia="es-MX"/>
        </w:rPr>
        <w:t>detectó</w:t>
      </w:r>
      <w:r w:rsidRPr="0064059C">
        <w:rPr>
          <w:rFonts w:asciiTheme="minorHAnsi" w:hAnsiTheme="minorHAnsi"/>
          <w:color w:val="000000"/>
          <w:lang w:eastAsia="es-MX"/>
        </w:rPr>
        <w:t xml:space="preserve"> que se omite publicar la correspondiente a las </w:t>
      </w:r>
      <w:r w:rsidRPr="0064059C">
        <w:rPr>
          <w:rFonts w:asciiTheme="minorHAnsi" w:hAnsiTheme="minorHAnsi"/>
          <w:color w:val="000000"/>
          <w:lang w:eastAsia="es-MX"/>
        </w:rPr>
        <w:lastRenderedPageBreak/>
        <w:t xml:space="preserve">fracciones V, VIII, IX, X y XI del primer partido político que se despliega al ingresar a la sección.  </w:t>
      </w:r>
      <w:r w:rsidR="0025411C" w:rsidRPr="0064059C">
        <w:rPr>
          <w:rFonts w:asciiTheme="minorHAnsi" w:hAnsiTheme="minorHAnsi" w:cstheme="minorHAnsi"/>
          <w:b/>
          <w:szCs w:val="20"/>
        </w:rPr>
        <w:t>NO ATENDIDA</w:t>
      </w:r>
    </w:p>
    <w:p w:rsidR="00CD13D2" w:rsidRPr="0064059C" w:rsidRDefault="00CD13D2" w:rsidP="00E22C5D">
      <w:pPr>
        <w:jc w:val="both"/>
        <w:rPr>
          <w:rFonts w:asciiTheme="minorHAnsi" w:hAnsiTheme="minorHAnsi"/>
          <w:b/>
          <w:color w:val="000000"/>
          <w:lang w:eastAsia="es-MX"/>
        </w:rPr>
      </w:pPr>
    </w:p>
    <w:p w:rsidR="00E22C5D" w:rsidRPr="0064059C" w:rsidRDefault="00346B50" w:rsidP="00E22C5D">
      <w:pPr>
        <w:jc w:val="both"/>
        <w:rPr>
          <w:rFonts w:asciiTheme="minorHAnsi" w:hAnsiTheme="minorHAnsi"/>
          <w:b/>
          <w:color w:val="000000"/>
          <w:lang w:eastAsia="es-MX"/>
        </w:rPr>
      </w:pPr>
      <w:r w:rsidRPr="0064059C">
        <w:rPr>
          <w:rFonts w:asciiTheme="minorHAnsi" w:hAnsiTheme="minorHAnsi"/>
          <w:b/>
          <w:color w:val="000000"/>
          <w:lang w:eastAsia="es-MX"/>
        </w:rPr>
        <w:t>R</w:t>
      </w:r>
      <w:r w:rsidR="00E22C5D" w:rsidRPr="0064059C">
        <w:rPr>
          <w:rFonts w:asciiTheme="minorHAnsi" w:hAnsiTheme="minorHAnsi"/>
          <w:b/>
          <w:color w:val="000000"/>
          <w:lang w:eastAsia="es-MX"/>
        </w:rPr>
        <w:t>ECOMENDACIONES GENERALES</w:t>
      </w:r>
    </w:p>
    <w:p w:rsidR="000A31F8" w:rsidRPr="0064059C" w:rsidRDefault="00E22C5D" w:rsidP="000A31F8">
      <w:pPr>
        <w:jc w:val="both"/>
        <w:rPr>
          <w:rFonts w:asciiTheme="minorHAnsi" w:hAnsiTheme="minorHAnsi"/>
          <w:color w:val="000000"/>
          <w:lang w:eastAsia="es-MX"/>
        </w:rPr>
      </w:pPr>
      <w:r w:rsidRPr="0064059C">
        <w:rPr>
          <w:rFonts w:asciiTheme="minorHAnsi" w:hAnsiTheme="minorHAnsi"/>
          <w:color w:val="000000"/>
          <w:lang w:eastAsia="es-MX"/>
        </w:rPr>
        <w:t xml:space="preserve">Adicionalmente a las recomendaciones específicas por cada fracción arriba señaladas, este Órgano Garante le hace llegar las siguientes recomendaciones </w:t>
      </w:r>
    </w:p>
    <w:p w:rsidR="000A31F8" w:rsidRPr="0064059C" w:rsidRDefault="000A31F8" w:rsidP="000A31F8">
      <w:pPr>
        <w:jc w:val="both"/>
        <w:rPr>
          <w:rFonts w:asciiTheme="minorHAnsi" w:hAnsiTheme="minorHAnsi"/>
          <w:color w:val="000000"/>
          <w:lang w:eastAsia="es-MX"/>
        </w:rPr>
      </w:pPr>
    </w:p>
    <w:p w:rsidR="00E22C5D" w:rsidRPr="0064059C" w:rsidRDefault="00E22C5D" w:rsidP="007A52CE">
      <w:pPr>
        <w:pStyle w:val="Prrafodelista"/>
        <w:numPr>
          <w:ilvl w:val="0"/>
          <w:numId w:val="6"/>
        </w:numPr>
        <w:jc w:val="both"/>
        <w:rPr>
          <w:rFonts w:asciiTheme="minorHAnsi" w:hAnsiTheme="minorHAnsi" w:cstheme="minorHAnsi"/>
        </w:rPr>
      </w:pPr>
      <w:r w:rsidRPr="0064059C">
        <w:rPr>
          <w:rFonts w:asciiTheme="minorHAnsi" w:hAnsiTheme="minorHAnsi" w:cstheme="minorHAnsi"/>
          <w:b/>
        </w:rPr>
        <w:t>Posibilidad de contacto con el responsable de dar mantenimiento a la página</w:t>
      </w:r>
      <w:r w:rsidRPr="0064059C">
        <w:rPr>
          <w:rFonts w:asciiTheme="minorHAnsi" w:hAnsiTheme="minorHAnsi" w:cstheme="minorHAnsi"/>
        </w:rPr>
        <w:t>. Resulta conveniente que exista contacto con el administrador del portal sobre todo para solucionar problemas técnicos tales como que no se pueda acceder a cierta información o que la liga estuviera rota a fin de poder reportarlo y sea reparado con prontitud.</w:t>
      </w:r>
      <w:r w:rsidRPr="0064059C">
        <w:rPr>
          <w:rFonts w:asciiTheme="minorHAnsi" w:hAnsiTheme="minorHAnsi" w:cstheme="minorHAnsi"/>
          <w:b/>
        </w:rPr>
        <w:t xml:space="preserve"> </w:t>
      </w:r>
      <w:r w:rsidR="00673BE8" w:rsidRPr="0064059C">
        <w:rPr>
          <w:rFonts w:asciiTheme="minorHAnsi" w:hAnsiTheme="minorHAnsi" w:cstheme="minorHAnsi"/>
          <w:b/>
          <w:szCs w:val="20"/>
        </w:rPr>
        <w:t>ATENDIDA</w:t>
      </w:r>
    </w:p>
    <w:p w:rsidR="00E22C5D" w:rsidRPr="0064059C" w:rsidRDefault="00E22C5D" w:rsidP="00F135CE">
      <w:pPr>
        <w:pStyle w:val="Prrafodelista"/>
        <w:numPr>
          <w:ilvl w:val="0"/>
          <w:numId w:val="6"/>
        </w:numPr>
        <w:jc w:val="both"/>
        <w:rPr>
          <w:rFonts w:asciiTheme="minorHAnsi" w:hAnsiTheme="minorHAnsi" w:cstheme="minorHAnsi"/>
        </w:rPr>
      </w:pPr>
      <w:r w:rsidRPr="0064059C">
        <w:rPr>
          <w:rFonts w:asciiTheme="minorHAnsi" w:hAnsiTheme="minorHAnsi" w:cstheme="minorHAnsi"/>
          <w:b/>
        </w:rPr>
        <w:t>Buscador</w:t>
      </w:r>
      <w:r w:rsidRPr="0064059C">
        <w:rPr>
          <w:rFonts w:asciiTheme="minorHAnsi" w:hAnsiTheme="minorHAnsi" w:cstheme="minorHAnsi"/>
        </w:rPr>
        <w:t>. El  portal no cuenta con buscadores temáticos, que son una herramienta muy útil para encontrar información de manera rápida y simple.</w:t>
      </w:r>
      <w:r w:rsidRPr="0064059C">
        <w:rPr>
          <w:rFonts w:asciiTheme="minorHAnsi" w:hAnsiTheme="minorHAnsi" w:cstheme="minorHAnsi"/>
          <w:b/>
        </w:rPr>
        <w:t xml:space="preserve"> </w:t>
      </w:r>
      <w:r w:rsidR="00673BE8" w:rsidRPr="0064059C">
        <w:rPr>
          <w:rFonts w:asciiTheme="minorHAnsi" w:hAnsiTheme="minorHAnsi" w:cstheme="minorHAnsi"/>
          <w:b/>
          <w:szCs w:val="20"/>
        </w:rPr>
        <w:t>NO ATENDIDA</w:t>
      </w:r>
    </w:p>
    <w:p w:rsidR="00E22C5D" w:rsidRPr="0064059C" w:rsidRDefault="00E22C5D" w:rsidP="007E5C95">
      <w:pPr>
        <w:pStyle w:val="Prrafodelista"/>
        <w:numPr>
          <w:ilvl w:val="0"/>
          <w:numId w:val="6"/>
        </w:numPr>
        <w:jc w:val="both"/>
        <w:rPr>
          <w:rFonts w:asciiTheme="minorHAnsi" w:hAnsiTheme="minorHAnsi" w:cstheme="minorHAnsi"/>
          <w:b/>
        </w:rPr>
      </w:pPr>
      <w:r w:rsidRPr="0064059C">
        <w:rPr>
          <w:rFonts w:asciiTheme="minorHAnsi" w:hAnsiTheme="minorHAnsi" w:cstheme="minorHAnsi"/>
          <w:b/>
        </w:rPr>
        <w:t>Publicar por cada fracción y justo debajo del texto la fecha de última actualización de la información</w:t>
      </w:r>
      <w:r w:rsidRPr="0064059C">
        <w:rPr>
          <w:rFonts w:asciiTheme="minorHAnsi" w:hAnsiTheme="minorHAnsi" w:cstheme="minorHAnsi"/>
        </w:rPr>
        <w:t xml:space="preserve">. La fecha de actualización de las fracciones no se señala en todos los casos, por lo que el usuario no conoce si la información que se está consultando es oportuna y veraz en términos de su temporalidad, además de que la incorporación de la fecha de publicación de cada documento en el portal no permite </w:t>
      </w:r>
      <w:r w:rsidR="00CA6793" w:rsidRPr="0064059C">
        <w:rPr>
          <w:rFonts w:asciiTheme="minorHAnsi" w:hAnsiTheme="minorHAnsi" w:cstheme="minorHAnsi"/>
        </w:rPr>
        <w:t xml:space="preserve">establecer con claridad la vigencia de la </w:t>
      </w:r>
      <w:r w:rsidR="00692D1E" w:rsidRPr="0064059C">
        <w:rPr>
          <w:rFonts w:asciiTheme="minorHAnsi" w:hAnsiTheme="minorHAnsi" w:cstheme="minorHAnsi"/>
        </w:rPr>
        <w:t>información</w:t>
      </w:r>
      <w:r w:rsidRPr="0064059C">
        <w:rPr>
          <w:rFonts w:asciiTheme="minorHAnsi" w:hAnsiTheme="minorHAnsi" w:cstheme="minorHAnsi"/>
        </w:rPr>
        <w:t xml:space="preserve">. </w:t>
      </w:r>
      <w:r w:rsidR="00673BE8" w:rsidRPr="0064059C">
        <w:rPr>
          <w:rFonts w:asciiTheme="minorHAnsi" w:hAnsiTheme="minorHAnsi" w:cstheme="minorHAnsi"/>
          <w:b/>
          <w:szCs w:val="20"/>
        </w:rPr>
        <w:t>ATENDIDA</w:t>
      </w:r>
      <w:r w:rsidRPr="0064059C">
        <w:rPr>
          <w:rFonts w:asciiTheme="minorHAnsi" w:hAnsiTheme="minorHAnsi" w:cstheme="minorHAnsi"/>
        </w:rPr>
        <w:t xml:space="preserve">     </w:t>
      </w:r>
    </w:p>
    <w:p w:rsidR="00673BE8" w:rsidRPr="0064059C" w:rsidRDefault="00673BE8" w:rsidP="00E22C5D">
      <w:pPr>
        <w:jc w:val="center"/>
        <w:rPr>
          <w:rFonts w:asciiTheme="minorHAnsi" w:hAnsiTheme="minorHAnsi" w:cstheme="minorHAnsi"/>
          <w:b/>
        </w:rPr>
      </w:pPr>
    </w:p>
    <w:p w:rsidR="00E22C5D" w:rsidRPr="0064059C" w:rsidRDefault="00E22C5D" w:rsidP="00E22C5D">
      <w:pPr>
        <w:jc w:val="center"/>
        <w:rPr>
          <w:rFonts w:asciiTheme="minorHAnsi" w:hAnsiTheme="minorHAnsi" w:cstheme="minorHAnsi"/>
          <w:b/>
        </w:rPr>
      </w:pPr>
      <w:r w:rsidRPr="0064059C">
        <w:rPr>
          <w:rFonts w:asciiTheme="minorHAnsi" w:hAnsiTheme="minorHAnsi" w:cstheme="minorHAnsi"/>
          <w:b/>
        </w:rPr>
        <w:t>TO</w:t>
      </w:r>
      <w:r w:rsidR="00285BB8" w:rsidRPr="0064059C">
        <w:rPr>
          <w:rFonts w:asciiTheme="minorHAnsi" w:hAnsiTheme="minorHAnsi" w:cstheme="minorHAnsi"/>
          <w:b/>
        </w:rPr>
        <w:t>TAL DE RECOMENDACIONES EMITIDAS</w:t>
      </w:r>
      <w:r w:rsidRPr="0064059C">
        <w:rPr>
          <w:rFonts w:asciiTheme="minorHAnsi" w:hAnsiTheme="minorHAnsi" w:cstheme="minorHAnsi"/>
          <w:b/>
        </w:rPr>
        <w:t xml:space="preserve">: </w:t>
      </w:r>
      <w:r w:rsidR="00276167" w:rsidRPr="0064059C">
        <w:rPr>
          <w:rFonts w:asciiTheme="minorHAnsi" w:hAnsiTheme="minorHAnsi" w:cstheme="minorHAnsi"/>
          <w:b/>
        </w:rPr>
        <w:t>5</w:t>
      </w:r>
      <w:r w:rsidR="00B170AC" w:rsidRPr="0064059C">
        <w:rPr>
          <w:rFonts w:asciiTheme="minorHAnsi" w:hAnsiTheme="minorHAnsi" w:cstheme="minorHAnsi"/>
          <w:b/>
        </w:rPr>
        <w:t>4</w:t>
      </w:r>
    </w:p>
    <w:p w:rsidR="00673BE8" w:rsidRPr="0064059C" w:rsidRDefault="00673BE8" w:rsidP="00E22C5D">
      <w:pPr>
        <w:jc w:val="center"/>
        <w:rPr>
          <w:rFonts w:asciiTheme="minorHAnsi" w:hAnsiTheme="minorHAnsi" w:cstheme="minorHAnsi"/>
          <w:b/>
        </w:rPr>
      </w:pPr>
      <w:r w:rsidRPr="0064059C">
        <w:rPr>
          <w:rFonts w:asciiTheme="minorHAnsi" w:hAnsiTheme="minorHAnsi" w:cstheme="minorHAnsi"/>
          <w:b/>
        </w:rPr>
        <w:t xml:space="preserve">TOTAL DE RECOMENDACIONES ATENDIDAS: </w:t>
      </w:r>
      <w:r w:rsidR="00710806" w:rsidRPr="0064059C">
        <w:rPr>
          <w:rFonts w:asciiTheme="minorHAnsi" w:hAnsiTheme="minorHAnsi" w:cstheme="minorHAnsi"/>
          <w:b/>
        </w:rPr>
        <w:t>1</w:t>
      </w:r>
      <w:r w:rsidR="00C95360" w:rsidRPr="0064059C">
        <w:rPr>
          <w:rFonts w:asciiTheme="minorHAnsi" w:hAnsiTheme="minorHAnsi" w:cstheme="minorHAnsi"/>
          <w:b/>
        </w:rPr>
        <w:t>3</w:t>
      </w:r>
    </w:p>
    <w:p w:rsidR="00710806" w:rsidRDefault="00710806" w:rsidP="00710806">
      <w:pPr>
        <w:jc w:val="center"/>
        <w:rPr>
          <w:rFonts w:asciiTheme="minorHAnsi" w:hAnsiTheme="minorHAnsi" w:cstheme="minorHAnsi"/>
          <w:b/>
        </w:rPr>
      </w:pPr>
      <w:r w:rsidRPr="0064059C">
        <w:rPr>
          <w:rFonts w:asciiTheme="minorHAnsi" w:hAnsiTheme="minorHAnsi" w:cstheme="minorHAnsi"/>
          <w:b/>
        </w:rPr>
        <w:t>TOTAL DE RECOMENDACIONES</w:t>
      </w:r>
      <w:r w:rsidR="00DF7F5D" w:rsidRPr="0064059C">
        <w:rPr>
          <w:rFonts w:asciiTheme="minorHAnsi" w:hAnsiTheme="minorHAnsi" w:cstheme="minorHAnsi"/>
          <w:b/>
        </w:rPr>
        <w:t xml:space="preserve">  NO </w:t>
      </w:r>
      <w:r w:rsidRPr="0064059C">
        <w:rPr>
          <w:rFonts w:asciiTheme="minorHAnsi" w:hAnsiTheme="minorHAnsi" w:cstheme="minorHAnsi"/>
          <w:b/>
        </w:rPr>
        <w:t xml:space="preserve"> ATENDIDAS: 4</w:t>
      </w:r>
      <w:r w:rsidR="00C95360" w:rsidRPr="0064059C">
        <w:rPr>
          <w:rFonts w:asciiTheme="minorHAnsi" w:hAnsiTheme="minorHAnsi" w:cstheme="minorHAnsi"/>
          <w:b/>
        </w:rPr>
        <w:t>1</w:t>
      </w:r>
    </w:p>
    <w:p w:rsidR="00710806" w:rsidRPr="00470A10" w:rsidRDefault="00710806" w:rsidP="00E22C5D">
      <w:pPr>
        <w:jc w:val="center"/>
        <w:rPr>
          <w:rFonts w:asciiTheme="minorHAnsi" w:hAnsiTheme="minorHAnsi" w:cstheme="minorHAnsi"/>
          <w:b/>
        </w:rPr>
      </w:pPr>
    </w:p>
    <w:p w:rsidR="001B5C6B" w:rsidRDefault="001B5C6B" w:rsidP="00E22C5D">
      <w:pPr>
        <w:jc w:val="both"/>
      </w:pPr>
    </w:p>
    <w:sectPr w:rsidR="001B5C6B" w:rsidSect="002A4293">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6A" w:rsidRDefault="00027C6A" w:rsidP="00D35F7C">
      <w:pPr>
        <w:spacing w:after="0" w:line="240" w:lineRule="auto"/>
      </w:pPr>
      <w:r>
        <w:separator/>
      </w:r>
    </w:p>
  </w:endnote>
  <w:endnote w:type="continuationSeparator" w:id="0">
    <w:p w:rsidR="00027C6A" w:rsidRDefault="00027C6A"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2A4293" w:rsidRPr="00FA4360" w:rsidTr="002A4293">
      <w:tc>
        <w:tcPr>
          <w:tcW w:w="9180" w:type="dxa"/>
        </w:tcPr>
        <w:p w:rsidR="002A4293" w:rsidRPr="00571AF4" w:rsidRDefault="002A4293" w:rsidP="002A4293">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2A4293" w:rsidRDefault="002A4293" w:rsidP="002A4293">
          <w:pPr>
            <w:pStyle w:val="Sinespaciado"/>
            <w:jc w:val="right"/>
            <w:rPr>
              <w:rFonts w:asciiTheme="majorHAnsi" w:hAnsiTheme="majorHAnsi"/>
              <w:b/>
              <w:sz w:val="16"/>
            </w:rPr>
          </w:pPr>
          <w:r>
            <w:rPr>
              <w:rFonts w:asciiTheme="majorHAnsi" w:hAnsiTheme="majorHAnsi"/>
              <w:b/>
              <w:sz w:val="16"/>
            </w:rPr>
            <w:t>Coordinación de Evaluación y Seguimiento</w:t>
          </w:r>
        </w:p>
        <w:p w:rsidR="002A4293" w:rsidRPr="00571AF4" w:rsidRDefault="002A4293" w:rsidP="002A4293">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E10BCE">
            <w:rPr>
              <w:rFonts w:asciiTheme="majorHAnsi" w:hAnsiTheme="majorHAnsi"/>
              <w:sz w:val="16"/>
            </w:rPr>
            <w:t>18</w:t>
          </w:r>
          <w:r>
            <w:rPr>
              <w:rFonts w:asciiTheme="majorHAnsi" w:hAnsiTheme="majorHAnsi"/>
              <w:sz w:val="16"/>
            </w:rPr>
            <w:t xml:space="preserve"> </w:t>
          </w:r>
          <w:r w:rsidRPr="00571AF4">
            <w:rPr>
              <w:rFonts w:asciiTheme="majorHAnsi" w:hAnsiTheme="majorHAnsi"/>
              <w:sz w:val="16"/>
            </w:rPr>
            <w:t>de</w:t>
          </w:r>
          <w:r w:rsidR="009822D4">
            <w:rPr>
              <w:rFonts w:asciiTheme="majorHAnsi" w:hAnsiTheme="majorHAnsi"/>
              <w:sz w:val="16"/>
            </w:rPr>
            <w:t xml:space="preserve"> </w:t>
          </w:r>
          <w:r w:rsidR="00673BE8">
            <w:rPr>
              <w:rFonts w:asciiTheme="majorHAnsi" w:hAnsiTheme="majorHAnsi"/>
              <w:sz w:val="16"/>
            </w:rPr>
            <w:t>junio</w:t>
          </w:r>
          <w:r w:rsidR="009822D4">
            <w:rPr>
              <w:rFonts w:asciiTheme="majorHAnsi" w:hAnsiTheme="majorHAnsi"/>
              <w:sz w:val="16"/>
            </w:rPr>
            <w:t xml:space="preserve"> </w:t>
          </w:r>
          <w:r>
            <w:rPr>
              <w:rFonts w:asciiTheme="majorHAnsi" w:hAnsiTheme="majorHAnsi"/>
              <w:sz w:val="16"/>
            </w:rPr>
            <w:t xml:space="preserve"> </w:t>
          </w:r>
          <w:r w:rsidRPr="00571AF4">
            <w:rPr>
              <w:rFonts w:asciiTheme="majorHAnsi" w:hAnsiTheme="majorHAnsi"/>
              <w:sz w:val="16"/>
            </w:rPr>
            <w:t>de 201</w:t>
          </w:r>
          <w:r>
            <w:rPr>
              <w:rFonts w:asciiTheme="majorHAnsi" w:hAnsiTheme="majorHAnsi"/>
              <w:sz w:val="16"/>
            </w:rPr>
            <w:t>4</w:t>
          </w:r>
        </w:p>
        <w:p w:rsidR="002A4293" w:rsidRPr="00FA4360" w:rsidRDefault="002A4293" w:rsidP="002A4293">
          <w:pPr>
            <w:pStyle w:val="Sinespaciado"/>
            <w:tabs>
              <w:tab w:val="left" w:pos="1741"/>
            </w:tabs>
            <w:jc w:val="right"/>
            <w:rPr>
              <w:rFonts w:asciiTheme="majorHAnsi" w:hAnsiTheme="majorHAnsi"/>
              <w:sz w:val="20"/>
            </w:rPr>
          </w:pPr>
        </w:p>
        <w:p w:rsidR="002A4293" w:rsidRPr="00FA4360" w:rsidRDefault="002A4293" w:rsidP="002A4293">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2A4293" w:rsidRPr="00E224B8" w:rsidRDefault="002A4293" w:rsidP="002A4293">
          <w:pPr>
            <w:pStyle w:val="Piedepgina"/>
            <w:rPr>
              <w:rFonts w:asciiTheme="majorHAnsi" w:hAnsiTheme="majorHAnsi"/>
              <w:b/>
              <w:sz w:val="18"/>
              <w:szCs w:val="18"/>
            </w:rPr>
          </w:pPr>
        </w:p>
        <w:p w:rsidR="002A4293" w:rsidRPr="00E224B8" w:rsidRDefault="00114510" w:rsidP="00E10BCE">
          <w:pPr>
            <w:pStyle w:val="Piedepgina"/>
            <w:rPr>
              <w:rFonts w:asciiTheme="majorHAnsi" w:hAnsiTheme="majorHAnsi"/>
              <w:b/>
              <w:sz w:val="18"/>
              <w:szCs w:val="18"/>
            </w:rPr>
          </w:pPr>
          <w:r w:rsidRPr="00E224B8">
            <w:rPr>
              <w:rFonts w:asciiTheme="majorHAnsi" w:hAnsiTheme="majorHAnsi"/>
              <w:b/>
              <w:sz w:val="18"/>
              <w:szCs w:val="18"/>
            </w:rPr>
            <w:fldChar w:fldCharType="begin"/>
          </w:r>
          <w:r w:rsidR="002A4293"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64059C">
            <w:rPr>
              <w:rFonts w:asciiTheme="majorHAnsi" w:hAnsiTheme="majorHAnsi"/>
              <w:b/>
              <w:noProof/>
              <w:sz w:val="18"/>
              <w:szCs w:val="18"/>
            </w:rPr>
            <w:t>7</w:t>
          </w:r>
          <w:r w:rsidRPr="00E224B8">
            <w:rPr>
              <w:rFonts w:asciiTheme="majorHAnsi" w:hAnsiTheme="majorHAnsi"/>
              <w:b/>
              <w:noProof/>
              <w:sz w:val="18"/>
              <w:szCs w:val="18"/>
            </w:rPr>
            <w:fldChar w:fldCharType="end"/>
          </w:r>
          <w:r w:rsidR="007D3A79">
            <w:rPr>
              <w:rFonts w:asciiTheme="majorHAnsi" w:hAnsiTheme="majorHAnsi"/>
              <w:b/>
              <w:noProof/>
              <w:sz w:val="18"/>
              <w:szCs w:val="18"/>
            </w:rPr>
            <w:t xml:space="preserve"> de </w:t>
          </w:r>
          <w:r w:rsidR="00E10BCE">
            <w:rPr>
              <w:rFonts w:asciiTheme="majorHAnsi" w:hAnsiTheme="majorHAnsi"/>
              <w:b/>
              <w:noProof/>
              <w:sz w:val="18"/>
              <w:szCs w:val="18"/>
            </w:rPr>
            <w:t>8</w:t>
          </w:r>
        </w:p>
      </w:tc>
    </w:tr>
  </w:tbl>
  <w:p w:rsidR="002A4293" w:rsidRPr="00A64416" w:rsidRDefault="002A4293" w:rsidP="002A42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6A" w:rsidRDefault="00027C6A" w:rsidP="00D35F7C">
      <w:pPr>
        <w:spacing w:after="0" w:line="240" w:lineRule="auto"/>
      </w:pPr>
      <w:r>
        <w:separator/>
      </w:r>
    </w:p>
  </w:footnote>
  <w:footnote w:type="continuationSeparator" w:id="0">
    <w:p w:rsidR="00027C6A" w:rsidRDefault="00027C6A"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A4293" w:rsidRPr="00625444" w:rsidTr="002A4293">
      <w:trPr>
        <w:trHeight w:val="1492"/>
      </w:trPr>
      <w:tc>
        <w:tcPr>
          <w:tcW w:w="8552" w:type="dxa"/>
          <w:tcBorders>
            <w:bottom w:val="single" w:sz="18" w:space="0" w:color="808080"/>
          </w:tcBorders>
        </w:tcPr>
        <w:p w:rsidR="002A4293" w:rsidRDefault="002A4293" w:rsidP="002A4293">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A4293" w:rsidRDefault="002A4293" w:rsidP="002A4293">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2A4293" w:rsidRDefault="002A4293" w:rsidP="002A4293">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A4293" w:rsidRDefault="002A429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6A76206"/>
    <w:multiLevelType w:val="hybridMultilevel"/>
    <w:tmpl w:val="54AA6870"/>
    <w:lvl w:ilvl="0" w:tplc="1E7036B2">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341E0E1C"/>
    <w:multiLevelType w:val="hybridMultilevel"/>
    <w:tmpl w:val="9140ADCA"/>
    <w:lvl w:ilvl="0" w:tplc="C0D4227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0">
    <w:nsid w:val="3E724C33"/>
    <w:multiLevelType w:val="hybridMultilevel"/>
    <w:tmpl w:val="0C84A182"/>
    <w:lvl w:ilvl="0" w:tplc="878A3E1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8FA6857"/>
    <w:multiLevelType w:val="hybridMultilevel"/>
    <w:tmpl w:val="813E8B4A"/>
    <w:lvl w:ilvl="0" w:tplc="1BFC01D8">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AB96DF1"/>
    <w:multiLevelType w:val="hybridMultilevel"/>
    <w:tmpl w:val="0AF6DCE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C5646ED"/>
    <w:multiLevelType w:val="hybridMultilevel"/>
    <w:tmpl w:val="62C81FD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8">
    <w:nsid w:val="5BCA2DCC"/>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9">
    <w:nsid w:val="615B2912"/>
    <w:multiLevelType w:val="hybridMultilevel"/>
    <w:tmpl w:val="57E8D5C4"/>
    <w:lvl w:ilvl="0" w:tplc="780A75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48C7526"/>
    <w:multiLevelType w:val="hybridMultilevel"/>
    <w:tmpl w:val="766C700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0"/>
  </w:num>
  <w:num w:numId="3">
    <w:abstractNumId w:val="23"/>
  </w:num>
  <w:num w:numId="4">
    <w:abstractNumId w:val="11"/>
  </w:num>
  <w:num w:numId="5">
    <w:abstractNumId w:val="8"/>
  </w:num>
  <w:num w:numId="6">
    <w:abstractNumId w:val="7"/>
  </w:num>
  <w:num w:numId="7">
    <w:abstractNumId w:val="4"/>
  </w:num>
  <w:num w:numId="8">
    <w:abstractNumId w:val="21"/>
  </w:num>
  <w:num w:numId="9">
    <w:abstractNumId w:val="24"/>
  </w:num>
  <w:num w:numId="10">
    <w:abstractNumId w:val="10"/>
  </w:num>
  <w:num w:numId="11">
    <w:abstractNumId w:val="22"/>
  </w:num>
  <w:num w:numId="12">
    <w:abstractNumId w:val="13"/>
  </w:num>
  <w:num w:numId="13">
    <w:abstractNumId w:val="1"/>
  </w:num>
  <w:num w:numId="14">
    <w:abstractNumId w:val="2"/>
  </w:num>
  <w:num w:numId="15">
    <w:abstractNumId w:val="6"/>
  </w:num>
  <w:num w:numId="16">
    <w:abstractNumId w:val="16"/>
  </w:num>
  <w:num w:numId="17">
    <w:abstractNumId w:val="19"/>
  </w:num>
  <w:num w:numId="18">
    <w:abstractNumId w:val="15"/>
  </w:num>
  <w:num w:numId="19">
    <w:abstractNumId w:val="14"/>
  </w:num>
  <w:num w:numId="20">
    <w:abstractNumId w:val="17"/>
  </w:num>
  <w:num w:numId="21">
    <w:abstractNumId w:val="18"/>
  </w:num>
  <w:num w:numId="22">
    <w:abstractNumId w:val="5"/>
  </w:num>
  <w:num w:numId="23">
    <w:abstractNumId w:val="9"/>
  </w:num>
  <w:num w:numId="24">
    <w:abstractNumId w:val="12"/>
  </w:num>
  <w:num w:numId="25">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8306"/>
  </w:hdrShapeDefaults>
  <w:footnotePr>
    <w:footnote w:id="-1"/>
    <w:footnote w:id="0"/>
  </w:footnotePr>
  <w:endnotePr>
    <w:endnote w:id="-1"/>
    <w:endnote w:id="0"/>
  </w:endnotePr>
  <w:compat/>
  <w:rsids>
    <w:rsidRoot w:val="00FA4143"/>
    <w:rsid w:val="00015BCD"/>
    <w:rsid w:val="0002119B"/>
    <w:rsid w:val="00024985"/>
    <w:rsid w:val="00025E2A"/>
    <w:rsid w:val="00025EBA"/>
    <w:rsid w:val="00026F43"/>
    <w:rsid w:val="00026F93"/>
    <w:rsid w:val="00027C6A"/>
    <w:rsid w:val="00030042"/>
    <w:rsid w:val="00034B9D"/>
    <w:rsid w:val="00043B3F"/>
    <w:rsid w:val="0004472E"/>
    <w:rsid w:val="0004473B"/>
    <w:rsid w:val="000476C5"/>
    <w:rsid w:val="00056218"/>
    <w:rsid w:val="00056BAC"/>
    <w:rsid w:val="00061453"/>
    <w:rsid w:val="00061842"/>
    <w:rsid w:val="00071B19"/>
    <w:rsid w:val="000754E5"/>
    <w:rsid w:val="000776DD"/>
    <w:rsid w:val="00083CF8"/>
    <w:rsid w:val="000906CF"/>
    <w:rsid w:val="00090D0C"/>
    <w:rsid w:val="00094286"/>
    <w:rsid w:val="000A009C"/>
    <w:rsid w:val="000A31F8"/>
    <w:rsid w:val="000B1782"/>
    <w:rsid w:val="000B4592"/>
    <w:rsid w:val="000D01B7"/>
    <w:rsid w:val="000D3367"/>
    <w:rsid w:val="000D3948"/>
    <w:rsid w:val="000D52DD"/>
    <w:rsid w:val="000D60C3"/>
    <w:rsid w:val="000E1129"/>
    <w:rsid w:val="000E4AE7"/>
    <w:rsid w:val="000E796A"/>
    <w:rsid w:val="000F60E5"/>
    <w:rsid w:val="00104C15"/>
    <w:rsid w:val="00114510"/>
    <w:rsid w:val="00121B2C"/>
    <w:rsid w:val="00124FCF"/>
    <w:rsid w:val="00125525"/>
    <w:rsid w:val="00131189"/>
    <w:rsid w:val="00142297"/>
    <w:rsid w:val="00142754"/>
    <w:rsid w:val="00143C93"/>
    <w:rsid w:val="001515CC"/>
    <w:rsid w:val="0015272B"/>
    <w:rsid w:val="00162985"/>
    <w:rsid w:val="00170628"/>
    <w:rsid w:val="00175FEA"/>
    <w:rsid w:val="001807DC"/>
    <w:rsid w:val="00184477"/>
    <w:rsid w:val="0018456B"/>
    <w:rsid w:val="001928F6"/>
    <w:rsid w:val="001970AF"/>
    <w:rsid w:val="0019776A"/>
    <w:rsid w:val="001A64D6"/>
    <w:rsid w:val="001B2607"/>
    <w:rsid w:val="001B59EA"/>
    <w:rsid w:val="001B5C6B"/>
    <w:rsid w:val="001C2366"/>
    <w:rsid w:val="001D1AA4"/>
    <w:rsid w:val="001E0DC7"/>
    <w:rsid w:val="001E4BA0"/>
    <w:rsid w:val="001F26B7"/>
    <w:rsid w:val="001F7257"/>
    <w:rsid w:val="002062AC"/>
    <w:rsid w:val="00216E45"/>
    <w:rsid w:val="00225BF0"/>
    <w:rsid w:val="0022751D"/>
    <w:rsid w:val="00235F13"/>
    <w:rsid w:val="002401C4"/>
    <w:rsid w:val="002429A8"/>
    <w:rsid w:val="00250213"/>
    <w:rsid w:val="00253B37"/>
    <w:rsid w:val="0025411C"/>
    <w:rsid w:val="00254FCB"/>
    <w:rsid w:val="00256D6A"/>
    <w:rsid w:val="00272AF6"/>
    <w:rsid w:val="00276167"/>
    <w:rsid w:val="00282B6F"/>
    <w:rsid w:val="00285BB8"/>
    <w:rsid w:val="0028652F"/>
    <w:rsid w:val="0029677C"/>
    <w:rsid w:val="002A4293"/>
    <w:rsid w:val="002A499D"/>
    <w:rsid w:val="002A6091"/>
    <w:rsid w:val="002A6787"/>
    <w:rsid w:val="002D68B8"/>
    <w:rsid w:val="002E5884"/>
    <w:rsid w:val="002E6385"/>
    <w:rsid w:val="002E6E59"/>
    <w:rsid w:val="002F3912"/>
    <w:rsid w:val="003028FB"/>
    <w:rsid w:val="00306B0F"/>
    <w:rsid w:val="0030778A"/>
    <w:rsid w:val="00310374"/>
    <w:rsid w:val="00313AA1"/>
    <w:rsid w:val="00313DEB"/>
    <w:rsid w:val="00324701"/>
    <w:rsid w:val="003334B9"/>
    <w:rsid w:val="00336745"/>
    <w:rsid w:val="00337456"/>
    <w:rsid w:val="00346B50"/>
    <w:rsid w:val="00356A16"/>
    <w:rsid w:val="00357C2F"/>
    <w:rsid w:val="003621FA"/>
    <w:rsid w:val="00364FB0"/>
    <w:rsid w:val="00366B5F"/>
    <w:rsid w:val="003737C7"/>
    <w:rsid w:val="0037545E"/>
    <w:rsid w:val="003910A6"/>
    <w:rsid w:val="00396673"/>
    <w:rsid w:val="003A6D16"/>
    <w:rsid w:val="003C062B"/>
    <w:rsid w:val="003C388E"/>
    <w:rsid w:val="003D0A46"/>
    <w:rsid w:val="003D4824"/>
    <w:rsid w:val="003D70CB"/>
    <w:rsid w:val="003D7C37"/>
    <w:rsid w:val="003E028B"/>
    <w:rsid w:val="003E0FBE"/>
    <w:rsid w:val="003E25DC"/>
    <w:rsid w:val="003F6D15"/>
    <w:rsid w:val="004028AC"/>
    <w:rsid w:val="00411B66"/>
    <w:rsid w:val="00414785"/>
    <w:rsid w:val="00415559"/>
    <w:rsid w:val="00421CF7"/>
    <w:rsid w:val="00424AFC"/>
    <w:rsid w:val="00424C92"/>
    <w:rsid w:val="004300AB"/>
    <w:rsid w:val="00432507"/>
    <w:rsid w:val="00432B68"/>
    <w:rsid w:val="004702E7"/>
    <w:rsid w:val="004747A9"/>
    <w:rsid w:val="00475F85"/>
    <w:rsid w:val="004764FC"/>
    <w:rsid w:val="00476FC9"/>
    <w:rsid w:val="004806C6"/>
    <w:rsid w:val="004976A8"/>
    <w:rsid w:val="00497B53"/>
    <w:rsid w:val="004A2E67"/>
    <w:rsid w:val="004A36CC"/>
    <w:rsid w:val="004B4929"/>
    <w:rsid w:val="004C069E"/>
    <w:rsid w:val="004C4AFF"/>
    <w:rsid w:val="004D7142"/>
    <w:rsid w:val="00506BB4"/>
    <w:rsid w:val="005177D6"/>
    <w:rsid w:val="005212BC"/>
    <w:rsid w:val="00521416"/>
    <w:rsid w:val="00522305"/>
    <w:rsid w:val="00531193"/>
    <w:rsid w:val="00532823"/>
    <w:rsid w:val="00540F81"/>
    <w:rsid w:val="0054583D"/>
    <w:rsid w:val="00546D55"/>
    <w:rsid w:val="00550A80"/>
    <w:rsid w:val="0055774C"/>
    <w:rsid w:val="00557A37"/>
    <w:rsid w:val="005649FC"/>
    <w:rsid w:val="00570F70"/>
    <w:rsid w:val="005710E3"/>
    <w:rsid w:val="00572A4E"/>
    <w:rsid w:val="0058702E"/>
    <w:rsid w:val="00587285"/>
    <w:rsid w:val="005B0006"/>
    <w:rsid w:val="005B00B7"/>
    <w:rsid w:val="005B2FE0"/>
    <w:rsid w:val="005B3623"/>
    <w:rsid w:val="005C1A31"/>
    <w:rsid w:val="005C5A2B"/>
    <w:rsid w:val="005D2014"/>
    <w:rsid w:val="005E15A6"/>
    <w:rsid w:val="005E21AD"/>
    <w:rsid w:val="005E275C"/>
    <w:rsid w:val="005E32C6"/>
    <w:rsid w:val="005E462E"/>
    <w:rsid w:val="005E4ED9"/>
    <w:rsid w:val="005F1A89"/>
    <w:rsid w:val="006164D4"/>
    <w:rsid w:val="0061753E"/>
    <w:rsid w:val="00621D6C"/>
    <w:rsid w:val="00622788"/>
    <w:rsid w:val="00623120"/>
    <w:rsid w:val="00623825"/>
    <w:rsid w:val="00624B43"/>
    <w:rsid w:val="006315A5"/>
    <w:rsid w:val="00634937"/>
    <w:rsid w:val="0063650E"/>
    <w:rsid w:val="00637B0B"/>
    <w:rsid w:val="0064059C"/>
    <w:rsid w:val="006506EB"/>
    <w:rsid w:val="0065177E"/>
    <w:rsid w:val="00654029"/>
    <w:rsid w:val="00655F4D"/>
    <w:rsid w:val="006573EC"/>
    <w:rsid w:val="00660E70"/>
    <w:rsid w:val="006636EF"/>
    <w:rsid w:val="006665E6"/>
    <w:rsid w:val="00666B97"/>
    <w:rsid w:val="00673BE8"/>
    <w:rsid w:val="00691782"/>
    <w:rsid w:val="00692C78"/>
    <w:rsid w:val="00692D1E"/>
    <w:rsid w:val="00694869"/>
    <w:rsid w:val="006A05EA"/>
    <w:rsid w:val="006A42F4"/>
    <w:rsid w:val="006B430E"/>
    <w:rsid w:val="006B4617"/>
    <w:rsid w:val="006B5815"/>
    <w:rsid w:val="006B60BB"/>
    <w:rsid w:val="006D12FF"/>
    <w:rsid w:val="006D64A9"/>
    <w:rsid w:val="006D7D4B"/>
    <w:rsid w:val="006F345F"/>
    <w:rsid w:val="006F58C9"/>
    <w:rsid w:val="006F5EA6"/>
    <w:rsid w:val="00703D4E"/>
    <w:rsid w:val="00710806"/>
    <w:rsid w:val="0071406B"/>
    <w:rsid w:val="00715395"/>
    <w:rsid w:val="0071544D"/>
    <w:rsid w:val="00715BD9"/>
    <w:rsid w:val="007359D1"/>
    <w:rsid w:val="00735F52"/>
    <w:rsid w:val="007366BB"/>
    <w:rsid w:val="00744A21"/>
    <w:rsid w:val="00745978"/>
    <w:rsid w:val="007506BA"/>
    <w:rsid w:val="007576A4"/>
    <w:rsid w:val="00782865"/>
    <w:rsid w:val="00783A1A"/>
    <w:rsid w:val="007861FD"/>
    <w:rsid w:val="00787969"/>
    <w:rsid w:val="00787C98"/>
    <w:rsid w:val="00793FB6"/>
    <w:rsid w:val="00794093"/>
    <w:rsid w:val="00795CB1"/>
    <w:rsid w:val="007A3C25"/>
    <w:rsid w:val="007A44F5"/>
    <w:rsid w:val="007A52CE"/>
    <w:rsid w:val="007B2EB5"/>
    <w:rsid w:val="007C3837"/>
    <w:rsid w:val="007D3A79"/>
    <w:rsid w:val="007E0C9D"/>
    <w:rsid w:val="007E5C95"/>
    <w:rsid w:val="007F398D"/>
    <w:rsid w:val="007F4805"/>
    <w:rsid w:val="007F5D19"/>
    <w:rsid w:val="007F781C"/>
    <w:rsid w:val="00800296"/>
    <w:rsid w:val="00801981"/>
    <w:rsid w:val="008024F7"/>
    <w:rsid w:val="00805B65"/>
    <w:rsid w:val="00823BD3"/>
    <w:rsid w:val="00825F91"/>
    <w:rsid w:val="00835A20"/>
    <w:rsid w:val="00837AD0"/>
    <w:rsid w:val="008414B2"/>
    <w:rsid w:val="00843921"/>
    <w:rsid w:val="00854556"/>
    <w:rsid w:val="00856169"/>
    <w:rsid w:val="00857374"/>
    <w:rsid w:val="00862204"/>
    <w:rsid w:val="008661B7"/>
    <w:rsid w:val="008712FE"/>
    <w:rsid w:val="008723F3"/>
    <w:rsid w:val="00873F1F"/>
    <w:rsid w:val="00875F4E"/>
    <w:rsid w:val="00877BD7"/>
    <w:rsid w:val="00886515"/>
    <w:rsid w:val="00887783"/>
    <w:rsid w:val="0089021F"/>
    <w:rsid w:val="00892E28"/>
    <w:rsid w:val="0089647A"/>
    <w:rsid w:val="008969C0"/>
    <w:rsid w:val="008A2BB9"/>
    <w:rsid w:val="008A34C5"/>
    <w:rsid w:val="008A5E76"/>
    <w:rsid w:val="008C6380"/>
    <w:rsid w:val="008E2060"/>
    <w:rsid w:val="008F2137"/>
    <w:rsid w:val="00906C6A"/>
    <w:rsid w:val="00907E3E"/>
    <w:rsid w:val="00914127"/>
    <w:rsid w:val="009148B8"/>
    <w:rsid w:val="00915C8C"/>
    <w:rsid w:val="00916869"/>
    <w:rsid w:val="00922CE5"/>
    <w:rsid w:val="009254F4"/>
    <w:rsid w:val="009331C2"/>
    <w:rsid w:val="00935B0A"/>
    <w:rsid w:val="00936B7A"/>
    <w:rsid w:val="009453FA"/>
    <w:rsid w:val="00956652"/>
    <w:rsid w:val="0095714C"/>
    <w:rsid w:val="00957FF0"/>
    <w:rsid w:val="00980540"/>
    <w:rsid w:val="009822D4"/>
    <w:rsid w:val="009A0327"/>
    <w:rsid w:val="009B553C"/>
    <w:rsid w:val="009C29DC"/>
    <w:rsid w:val="009D0E30"/>
    <w:rsid w:val="009F3149"/>
    <w:rsid w:val="009F4C73"/>
    <w:rsid w:val="009F5263"/>
    <w:rsid w:val="00A013EB"/>
    <w:rsid w:val="00A02268"/>
    <w:rsid w:val="00A054AD"/>
    <w:rsid w:val="00A1066E"/>
    <w:rsid w:val="00A1603C"/>
    <w:rsid w:val="00A16317"/>
    <w:rsid w:val="00A20CE6"/>
    <w:rsid w:val="00A2421E"/>
    <w:rsid w:val="00A27AEE"/>
    <w:rsid w:val="00A364B2"/>
    <w:rsid w:val="00A42573"/>
    <w:rsid w:val="00A52A76"/>
    <w:rsid w:val="00A72F45"/>
    <w:rsid w:val="00A75E48"/>
    <w:rsid w:val="00A766D9"/>
    <w:rsid w:val="00A81733"/>
    <w:rsid w:val="00A827D3"/>
    <w:rsid w:val="00A829B5"/>
    <w:rsid w:val="00A861C5"/>
    <w:rsid w:val="00A86BDC"/>
    <w:rsid w:val="00A92473"/>
    <w:rsid w:val="00A932FE"/>
    <w:rsid w:val="00A9370B"/>
    <w:rsid w:val="00A95226"/>
    <w:rsid w:val="00A95C24"/>
    <w:rsid w:val="00AA58E5"/>
    <w:rsid w:val="00AA5D23"/>
    <w:rsid w:val="00AC0969"/>
    <w:rsid w:val="00AC1217"/>
    <w:rsid w:val="00AC50CB"/>
    <w:rsid w:val="00AC737F"/>
    <w:rsid w:val="00AE7437"/>
    <w:rsid w:val="00AF1064"/>
    <w:rsid w:val="00B025AE"/>
    <w:rsid w:val="00B03184"/>
    <w:rsid w:val="00B03A6A"/>
    <w:rsid w:val="00B10BCB"/>
    <w:rsid w:val="00B159E9"/>
    <w:rsid w:val="00B170AC"/>
    <w:rsid w:val="00B21E53"/>
    <w:rsid w:val="00B34CD0"/>
    <w:rsid w:val="00B42633"/>
    <w:rsid w:val="00B42B02"/>
    <w:rsid w:val="00B430E6"/>
    <w:rsid w:val="00B46B93"/>
    <w:rsid w:val="00B54F9D"/>
    <w:rsid w:val="00B5709C"/>
    <w:rsid w:val="00B60BDB"/>
    <w:rsid w:val="00B64440"/>
    <w:rsid w:val="00B649AE"/>
    <w:rsid w:val="00B71E88"/>
    <w:rsid w:val="00B736C1"/>
    <w:rsid w:val="00B814C0"/>
    <w:rsid w:val="00B87398"/>
    <w:rsid w:val="00B96528"/>
    <w:rsid w:val="00BA361C"/>
    <w:rsid w:val="00BA4F13"/>
    <w:rsid w:val="00BB6659"/>
    <w:rsid w:val="00BB6D7C"/>
    <w:rsid w:val="00BB7229"/>
    <w:rsid w:val="00BC6FF3"/>
    <w:rsid w:val="00BD2B33"/>
    <w:rsid w:val="00BD4BD0"/>
    <w:rsid w:val="00BE5F1A"/>
    <w:rsid w:val="00BE6A11"/>
    <w:rsid w:val="00C016E8"/>
    <w:rsid w:val="00C07A39"/>
    <w:rsid w:val="00C14C02"/>
    <w:rsid w:val="00C254EA"/>
    <w:rsid w:val="00C26656"/>
    <w:rsid w:val="00C30AA1"/>
    <w:rsid w:val="00C34E72"/>
    <w:rsid w:val="00C53532"/>
    <w:rsid w:val="00C62B0B"/>
    <w:rsid w:val="00C726EB"/>
    <w:rsid w:val="00C95360"/>
    <w:rsid w:val="00C95A52"/>
    <w:rsid w:val="00CA3174"/>
    <w:rsid w:val="00CA5DA7"/>
    <w:rsid w:val="00CA6793"/>
    <w:rsid w:val="00CB107B"/>
    <w:rsid w:val="00CB6FF0"/>
    <w:rsid w:val="00CC73C1"/>
    <w:rsid w:val="00CD13D2"/>
    <w:rsid w:val="00CD4053"/>
    <w:rsid w:val="00CD4FF5"/>
    <w:rsid w:val="00CD63DE"/>
    <w:rsid w:val="00CE1874"/>
    <w:rsid w:val="00CF0CC0"/>
    <w:rsid w:val="00CF3B89"/>
    <w:rsid w:val="00CF4F31"/>
    <w:rsid w:val="00D0481C"/>
    <w:rsid w:val="00D057F5"/>
    <w:rsid w:val="00D142BF"/>
    <w:rsid w:val="00D2759B"/>
    <w:rsid w:val="00D32698"/>
    <w:rsid w:val="00D35F7C"/>
    <w:rsid w:val="00D4269B"/>
    <w:rsid w:val="00D43C54"/>
    <w:rsid w:val="00D47BC1"/>
    <w:rsid w:val="00D53E58"/>
    <w:rsid w:val="00D63126"/>
    <w:rsid w:val="00D64240"/>
    <w:rsid w:val="00D64A4E"/>
    <w:rsid w:val="00D72919"/>
    <w:rsid w:val="00D82AD9"/>
    <w:rsid w:val="00D87771"/>
    <w:rsid w:val="00D93358"/>
    <w:rsid w:val="00D95FCC"/>
    <w:rsid w:val="00D978D0"/>
    <w:rsid w:val="00DA5694"/>
    <w:rsid w:val="00DA621E"/>
    <w:rsid w:val="00DB0AB8"/>
    <w:rsid w:val="00DC606D"/>
    <w:rsid w:val="00DD1D72"/>
    <w:rsid w:val="00DD372B"/>
    <w:rsid w:val="00DD3966"/>
    <w:rsid w:val="00DE10D6"/>
    <w:rsid w:val="00DE1123"/>
    <w:rsid w:val="00DF54DA"/>
    <w:rsid w:val="00DF7F5D"/>
    <w:rsid w:val="00E000CE"/>
    <w:rsid w:val="00E03DCD"/>
    <w:rsid w:val="00E0443B"/>
    <w:rsid w:val="00E05E29"/>
    <w:rsid w:val="00E10BCE"/>
    <w:rsid w:val="00E12A2B"/>
    <w:rsid w:val="00E13A46"/>
    <w:rsid w:val="00E13F55"/>
    <w:rsid w:val="00E22C5D"/>
    <w:rsid w:val="00E30ECB"/>
    <w:rsid w:val="00E31976"/>
    <w:rsid w:val="00E33E61"/>
    <w:rsid w:val="00E35FD6"/>
    <w:rsid w:val="00E41B0D"/>
    <w:rsid w:val="00E469EE"/>
    <w:rsid w:val="00E505B4"/>
    <w:rsid w:val="00E54670"/>
    <w:rsid w:val="00E638ED"/>
    <w:rsid w:val="00E65014"/>
    <w:rsid w:val="00E86964"/>
    <w:rsid w:val="00E9148D"/>
    <w:rsid w:val="00E929E8"/>
    <w:rsid w:val="00EA0670"/>
    <w:rsid w:val="00EA0F5A"/>
    <w:rsid w:val="00EA1974"/>
    <w:rsid w:val="00EA1F9E"/>
    <w:rsid w:val="00EB08E1"/>
    <w:rsid w:val="00EB2328"/>
    <w:rsid w:val="00EB7151"/>
    <w:rsid w:val="00EB7555"/>
    <w:rsid w:val="00ED5E0C"/>
    <w:rsid w:val="00ED79BA"/>
    <w:rsid w:val="00EE3B4C"/>
    <w:rsid w:val="00EE41EE"/>
    <w:rsid w:val="00EF76E1"/>
    <w:rsid w:val="00F02652"/>
    <w:rsid w:val="00F135CE"/>
    <w:rsid w:val="00F23749"/>
    <w:rsid w:val="00F35E65"/>
    <w:rsid w:val="00F442ED"/>
    <w:rsid w:val="00F45583"/>
    <w:rsid w:val="00F57923"/>
    <w:rsid w:val="00F65516"/>
    <w:rsid w:val="00F6574B"/>
    <w:rsid w:val="00F6636D"/>
    <w:rsid w:val="00F665A4"/>
    <w:rsid w:val="00F67716"/>
    <w:rsid w:val="00F745CF"/>
    <w:rsid w:val="00F77EA9"/>
    <w:rsid w:val="00F8592B"/>
    <w:rsid w:val="00F90325"/>
    <w:rsid w:val="00F9355C"/>
    <w:rsid w:val="00F9569F"/>
    <w:rsid w:val="00FA4143"/>
    <w:rsid w:val="00FA45C8"/>
    <w:rsid w:val="00FA5E58"/>
    <w:rsid w:val="00FA761C"/>
    <w:rsid w:val="00FB2554"/>
    <w:rsid w:val="00FB29B9"/>
    <w:rsid w:val="00FB4DEA"/>
    <w:rsid w:val="00FC28B4"/>
    <w:rsid w:val="00FE00A0"/>
    <w:rsid w:val="00FE1736"/>
    <w:rsid w:val="00FE3D74"/>
    <w:rsid w:val="00FE62D5"/>
    <w:rsid w:val="00FF26F6"/>
    <w:rsid w:val="00FF2BBA"/>
    <w:rsid w:val="00FF44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5C0772836846-331_IEPC%202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450B5-5430-49B2-806A-5CC352D4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2705</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8</cp:revision>
  <cp:lastPrinted>2014-06-18T16:06:00Z</cp:lastPrinted>
  <dcterms:created xsi:type="dcterms:W3CDTF">2014-06-18T16:17:00Z</dcterms:created>
  <dcterms:modified xsi:type="dcterms:W3CDTF">2014-08-07T23:19:00Z</dcterms:modified>
</cp:coreProperties>
</file>