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0F" w:rsidRPr="00954480" w:rsidRDefault="00F71E0F" w:rsidP="00B0733A">
      <w:pPr>
        <w:jc w:val="center"/>
        <w:rPr>
          <w:rFonts w:asciiTheme="minorHAnsi" w:hAnsiTheme="minorHAnsi" w:cstheme="minorHAnsi"/>
          <w:b/>
          <w:szCs w:val="20"/>
        </w:rPr>
      </w:pPr>
      <w:r w:rsidRPr="00954480">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961FD0" w:rsidRPr="00954480" w:rsidRDefault="00961FD0" w:rsidP="00B0733A">
      <w:pPr>
        <w:tabs>
          <w:tab w:val="left" w:pos="2190"/>
          <w:tab w:val="center" w:pos="4606"/>
        </w:tabs>
        <w:jc w:val="center"/>
        <w:rPr>
          <w:rFonts w:asciiTheme="minorHAnsi" w:hAnsiTheme="minorHAnsi" w:cstheme="minorHAnsi"/>
          <w:b/>
          <w:szCs w:val="20"/>
        </w:rPr>
      </w:pPr>
      <w:r w:rsidRPr="00954480">
        <w:rPr>
          <w:rFonts w:asciiTheme="minorHAnsi" w:hAnsiTheme="minorHAnsi" w:cstheme="minorHAnsi"/>
          <w:b/>
          <w:szCs w:val="20"/>
        </w:rPr>
        <w:t>PODER JUDICIAL DEL ESTADO DE BAJA CALIFORNIA</w:t>
      </w:r>
    </w:p>
    <w:p w:rsidR="00BE7E7D" w:rsidRPr="00954480" w:rsidRDefault="00BE7E7D" w:rsidP="00BE7E7D">
      <w:pPr>
        <w:tabs>
          <w:tab w:val="left" w:pos="2190"/>
          <w:tab w:val="center" w:pos="4606"/>
        </w:tabs>
        <w:jc w:val="center"/>
        <w:rPr>
          <w:rFonts w:asciiTheme="minorHAnsi" w:hAnsiTheme="minorHAnsi" w:cstheme="minorHAnsi"/>
          <w:b/>
          <w:szCs w:val="20"/>
        </w:rPr>
      </w:pPr>
      <w:r w:rsidRPr="00954480">
        <w:rPr>
          <w:rFonts w:asciiTheme="minorHAnsi" w:hAnsiTheme="minorHAnsi" w:cstheme="minorHAnsi"/>
          <w:b/>
          <w:szCs w:val="20"/>
        </w:rPr>
        <w:t>1RA. EVALUACIÓN 2015</w:t>
      </w:r>
    </w:p>
    <w:p w:rsidR="00FD05AF" w:rsidRPr="00954480" w:rsidRDefault="00FD05AF" w:rsidP="00B907DD">
      <w:pPr>
        <w:jc w:val="both"/>
        <w:rPr>
          <w:rFonts w:asciiTheme="minorHAnsi" w:hAnsiTheme="minorHAnsi" w:cstheme="minorHAnsi"/>
          <w:b/>
        </w:rPr>
      </w:pP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t>Artículo 11.- Los sujetos obligados deberán, de oficio, poner a disposición del público, la siguiente información:</w:t>
      </w: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t>I.- Sus facultades y los indicadores de gestión utilizados para evaluar su desempeño, metas y objetivos de sus programas operativos;</w:t>
      </w:r>
    </w:p>
    <w:p w:rsidR="00D46597" w:rsidRPr="00954480" w:rsidRDefault="00D46597" w:rsidP="00D46597">
      <w:pPr>
        <w:jc w:val="both"/>
        <w:rPr>
          <w:rFonts w:asciiTheme="minorHAnsi" w:hAnsiTheme="minorHAnsi" w:cstheme="minorHAnsi"/>
        </w:rPr>
      </w:pPr>
      <w:r w:rsidRPr="00954480">
        <w:rPr>
          <w:rFonts w:asciiTheme="minorHAnsi" w:hAnsiTheme="minorHAnsi" w:cstheme="minorHAnsi"/>
        </w:rPr>
        <w:t>No se emiten recomendaciones respecto a esta fracción.</w:t>
      </w:r>
    </w:p>
    <w:p w:rsidR="00A47A1F" w:rsidRPr="00954480" w:rsidRDefault="00A47A1F" w:rsidP="00B907DD">
      <w:pPr>
        <w:pStyle w:val="Prrafodelista"/>
        <w:ind w:left="1068"/>
        <w:jc w:val="both"/>
        <w:rPr>
          <w:rFonts w:asciiTheme="minorHAnsi" w:hAnsiTheme="minorHAnsi" w:cstheme="minorHAnsi"/>
        </w:rPr>
      </w:pPr>
    </w:p>
    <w:p w:rsidR="00262AFD" w:rsidRPr="00954480" w:rsidRDefault="00861104" w:rsidP="00B907DD">
      <w:pPr>
        <w:jc w:val="both"/>
        <w:rPr>
          <w:rFonts w:asciiTheme="minorHAnsi" w:hAnsiTheme="minorHAnsi" w:cstheme="minorHAnsi"/>
          <w:b/>
        </w:rPr>
      </w:pPr>
      <w:r w:rsidRPr="00954480">
        <w:rPr>
          <w:rFonts w:asciiTheme="minorHAnsi" w:hAnsiTheme="minorHAnsi" w:cstheme="minorHAnsi"/>
          <w:b/>
        </w:rPr>
        <w:t>II.- Su estructura orgánica;</w:t>
      </w:r>
    </w:p>
    <w:p w:rsidR="001C025B" w:rsidRPr="00954480" w:rsidRDefault="001C025B" w:rsidP="00B907DD">
      <w:pPr>
        <w:jc w:val="both"/>
        <w:rPr>
          <w:rFonts w:asciiTheme="minorHAnsi" w:hAnsiTheme="minorHAnsi" w:cstheme="minorHAnsi"/>
        </w:rPr>
      </w:pPr>
      <w:r w:rsidRPr="00954480">
        <w:rPr>
          <w:rFonts w:asciiTheme="minorHAnsi" w:hAnsiTheme="minorHAnsi" w:cstheme="minorHAnsi"/>
        </w:rPr>
        <w:t>No se emiten recomendaciones respecto a esta fracción.</w:t>
      </w:r>
    </w:p>
    <w:p w:rsidR="001C0B0A" w:rsidRPr="00954480" w:rsidRDefault="001C0B0A" w:rsidP="00B907DD">
      <w:pPr>
        <w:ind w:firstLine="708"/>
        <w:jc w:val="both"/>
        <w:rPr>
          <w:rFonts w:asciiTheme="minorHAnsi" w:hAnsiTheme="minorHAnsi" w:cstheme="minorHAnsi"/>
        </w:rPr>
      </w:pPr>
    </w:p>
    <w:p w:rsidR="0096589E" w:rsidRPr="00954480" w:rsidRDefault="0096589E" w:rsidP="00B907DD">
      <w:pPr>
        <w:jc w:val="both"/>
        <w:rPr>
          <w:rFonts w:asciiTheme="minorHAnsi" w:hAnsiTheme="minorHAnsi" w:cstheme="minorHAnsi"/>
          <w:b/>
        </w:rPr>
      </w:pPr>
      <w:r w:rsidRPr="00954480">
        <w:rPr>
          <w:rFonts w:asciiTheme="minorHAnsi" w:hAnsiTheme="minorHAnsi" w:cstheme="minorHAnsi"/>
          <w:b/>
        </w:rPr>
        <w:t>III.- La información curricular de los servidores públicos, desde el nivel de jefe de departamento o sus equivalentes hasta el nivel del funcionario de mayor jerarquía;</w:t>
      </w:r>
    </w:p>
    <w:p w:rsidR="000A172F" w:rsidRPr="00954480" w:rsidRDefault="00A47A1F" w:rsidP="000A172F">
      <w:pPr>
        <w:pStyle w:val="Prrafodelista"/>
        <w:numPr>
          <w:ilvl w:val="0"/>
          <w:numId w:val="2"/>
        </w:numPr>
        <w:jc w:val="both"/>
        <w:rPr>
          <w:rFonts w:asciiTheme="minorHAnsi" w:hAnsiTheme="minorHAnsi" w:cstheme="minorHAnsi"/>
        </w:rPr>
      </w:pPr>
      <w:r w:rsidRPr="00954480">
        <w:rPr>
          <w:rFonts w:asciiTheme="minorHAnsi" w:hAnsiTheme="minorHAnsi" w:cstheme="minorHAnsi"/>
        </w:rPr>
        <w:t xml:space="preserve">Se recomienda </w:t>
      </w:r>
      <w:r w:rsidR="00D6243C" w:rsidRPr="00954480">
        <w:rPr>
          <w:rFonts w:asciiTheme="minorHAnsi" w:hAnsiTheme="minorHAnsi" w:cstheme="minorHAnsi"/>
        </w:rPr>
        <w:t>publicar</w:t>
      </w:r>
      <w:r w:rsidRPr="00954480">
        <w:rPr>
          <w:rFonts w:asciiTheme="minorHAnsi" w:hAnsiTheme="minorHAnsi" w:cstheme="minorHAnsi"/>
        </w:rPr>
        <w:t xml:space="preserve"> información curr</w:t>
      </w:r>
      <w:r w:rsidR="00DF5AB4" w:rsidRPr="00954480">
        <w:rPr>
          <w:rFonts w:asciiTheme="minorHAnsi" w:hAnsiTheme="minorHAnsi" w:cstheme="minorHAnsi"/>
        </w:rPr>
        <w:t>icular de</w:t>
      </w:r>
      <w:r w:rsidR="000A172F" w:rsidRPr="00954480">
        <w:rPr>
          <w:rFonts w:asciiTheme="minorHAnsi" w:hAnsiTheme="minorHAnsi" w:cstheme="minorHAnsi"/>
        </w:rPr>
        <w:t xml:space="preserve">l </w:t>
      </w:r>
      <w:r w:rsidR="00DF5AB4" w:rsidRPr="00954480">
        <w:rPr>
          <w:rFonts w:asciiTheme="minorHAnsi" w:hAnsiTheme="minorHAnsi" w:cstheme="minorHAnsi"/>
        </w:rPr>
        <w:t>Titular del Sujeto</w:t>
      </w:r>
      <w:r w:rsidR="000A172F" w:rsidRPr="00954480">
        <w:rPr>
          <w:rFonts w:asciiTheme="minorHAnsi" w:hAnsiTheme="minorHAnsi" w:cstheme="minorHAnsi"/>
        </w:rPr>
        <w:t xml:space="preserve"> Obligado y de los integrantes del Pleno.</w:t>
      </w:r>
      <w:r w:rsidR="00117927" w:rsidRPr="00954480">
        <w:rPr>
          <w:rFonts w:asciiTheme="minorHAnsi" w:hAnsiTheme="minorHAnsi" w:cstheme="minorHAnsi"/>
        </w:rPr>
        <w:t xml:space="preserve"> </w:t>
      </w:r>
      <w:r w:rsidR="00117927" w:rsidRPr="00954480">
        <w:rPr>
          <w:rFonts w:asciiTheme="minorHAnsi" w:hAnsiTheme="minorHAnsi" w:cstheme="minorHAnsi"/>
          <w:b/>
        </w:rPr>
        <w:t>NO ATENDIDA</w:t>
      </w:r>
      <w:r w:rsidR="00117927" w:rsidRPr="00954480">
        <w:rPr>
          <w:rFonts w:asciiTheme="minorHAnsi" w:hAnsiTheme="minorHAnsi" w:cstheme="minorHAnsi"/>
        </w:rPr>
        <w:t>.</w:t>
      </w:r>
    </w:p>
    <w:p w:rsidR="000A172F" w:rsidRPr="00954480" w:rsidRDefault="000A172F" w:rsidP="000A172F">
      <w:pPr>
        <w:jc w:val="both"/>
        <w:rPr>
          <w:rFonts w:asciiTheme="minorHAnsi" w:hAnsiTheme="minorHAnsi" w:cstheme="minorHAnsi"/>
          <w:b/>
        </w:rPr>
      </w:pPr>
    </w:p>
    <w:p w:rsidR="00192A50" w:rsidRPr="00954480" w:rsidRDefault="00192A50" w:rsidP="000A172F">
      <w:pPr>
        <w:jc w:val="both"/>
        <w:rPr>
          <w:rFonts w:asciiTheme="minorHAnsi" w:hAnsiTheme="minorHAnsi" w:cstheme="minorHAnsi"/>
          <w:b/>
        </w:rPr>
      </w:pPr>
      <w:r w:rsidRPr="00954480">
        <w:rPr>
          <w:rFonts w:asciiTheme="minorHAnsi" w:hAnsiTheme="minorHAnsi" w:cstheme="minorHAnsi"/>
          <w:b/>
        </w:rPr>
        <w:t>IV.- Los servicios que ofrecen, los trámites, requisitos y formatos y, en su caso, el monto de los derechos para acceder a los mismos;</w:t>
      </w:r>
    </w:p>
    <w:p w:rsidR="00C03690" w:rsidRPr="00954480" w:rsidRDefault="00C03690" w:rsidP="00C03690">
      <w:pPr>
        <w:jc w:val="both"/>
        <w:rPr>
          <w:rFonts w:asciiTheme="minorHAnsi" w:hAnsiTheme="minorHAnsi" w:cstheme="minorHAnsi"/>
        </w:rPr>
      </w:pPr>
      <w:r w:rsidRPr="00954480">
        <w:rPr>
          <w:rFonts w:asciiTheme="minorHAnsi" w:hAnsiTheme="minorHAnsi" w:cstheme="minorHAnsi"/>
        </w:rPr>
        <w:t>No se emiten recomendaciones respecto a esta fracción.</w:t>
      </w:r>
    </w:p>
    <w:p w:rsidR="000A172F" w:rsidRPr="00954480" w:rsidRDefault="000A172F" w:rsidP="000A172F">
      <w:pPr>
        <w:jc w:val="both"/>
        <w:rPr>
          <w:rFonts w:asciiTheme="minorHAnsi" w:hAnsiTheme="minorHAnsi" w:cstheme="minorHAnsi"/>
          <w:b/>
          <w:sz w:val="18"/>
        </w:rPr>
      </w:pPr>
    </w:p>
    <w:p w:rsidR="000A172F" w:rsidRPr="00954480" w:rsidRDefault="000A172F" w:rsidP="000A172F">
      <w:pPr>
        <w:jc w:val="both"/>
        <w:rPr>
          <w:rFonts w:asciiTheme="minorHAnsi" w:hAnsiTheme="minorHAnsi" w:cstheme="minorHAnsi"/>
          <w:sz w:val="18"/>
        </w:rPr>
      </w:pPr>
      <w:r w:rsidRPr="00954480">
        <w:rPr>
          <w:rFonts w:asciiTheme="minorHAnsi" w:hAnsiTheme="minorHAnsi" w:cstheme="minorHAnsi"/>
          <w:b/>
          <w:sz w:val="18"/>
        </w:rPr>
        <w:t>NOTA</w:t>
      </w:r>
      <w:r w:rsidRPr="00954480">
        <w:rPr>
          <w:rFonts w:asciiTheme="minorHAnsi" w:hAnsiTheme="minorHAnsi" w:cstheme="minorHAnsi"/>
          <w:sz w:val="18"/>
        </w:rPr>
        <w:t xml:space="preserve">: con base en la </w:t>
      </w:r>
      <w:r w:rsidRPr="00954480">
        <w:rPr>
          <w:rFonts w:asciiTheme="minorHAnsi" w:hAnsiTheme="minorHAnsi" w:cstheme="minorHAnsi"/>
          <w:i/>
          <w:sz w:val="18"/>
        </w:rPr>
        <w:t xml:space="preserve">Guía Referencial de criterios para la Interpretación y Evaluación de la Información </w:t>
      </w:r>
      <w:r w:rsidR="00DC3B8A" w:rsidRPr="00954480">
        <w:rPr>
          <w:rFonts w:asciiTheme="minorHAnsi" w:hAnsiTheme="minorHAnsi" w:cstheme="minorHAnsi"/>
          <w:i/>
          <w:sz w:val="18"/>
        </w:rPr>
        <w:t>Pública</w:t>
      </w:r>
      <w:r w:rsidRPr="00954480">
        <w:rPr>
          <w:rFonts w:asciiTheme="minorHAnsi" w:hAnsiTheme="minorHAnsi" w:cstheme="minorHAnsi"/>
          <w:i/>
          <w:sz w:val="18"/>
        </w:rPr>
        <w:t xml:space="preserve"> de oficio señalada en el Articulo 11 de la LTAIPBC</w:t>
      </w:r>
      <w:r w:rsidR="002A270D" w:rsidRPr="00954480">
        <w:rPr>
          <w:rFonts w:asciiTheme="minorHAnsi" w:hAnsiTheme="minorHAnsi" w:cstheme="minorHAnsi"/>
          <w:i/>
          <w:sz w:val="18"/>
        </w:rPr>
        <w:t>...</w:t>
      </w:r>
    </w:p>
    <w:p w:rsidR="00D94081" w:rsidRPr="00954480" w:rsidRDefault="00D94081" w:rsidP="00B907DD">
      <w:pPr>
        <w:jc w:val="both"/>
        <w:rPr>
          <w:rFonts w:asciiTheme="minorHAnsi" w:hAnsiTheme="minorHAnsi" w:cstheme="minorHAnsi"/>
          <w:b/>
        </w:rPr>
      </w:pP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lastRenderedPageBreak/>
        <w:t>V.- Los informes de acceso a la información, que contengan cuando menos:</w:t>
      </w: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t>a).- Número de solicitudes de información que les han sido presentadas;</w:t>
      </w: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t>b).- Objeto de las solicitudes;</w:t>
      </w: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t>c).- Solicitudes procesadas y respondidas, así como el número de aquellas que se encuentren pendientes; y</w:t>
      </w: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t>d).- Las solicitudes que hayan sido denegadas y los fundamentos por lo que fueron desechadas.</w:t>
      </w:r>
    </w:p>
    <w:p w:rsidR="00A57E2F" w:rsidRPr="00954480" w:rsidRDefault="00A57E2F" w:rsidP="00A73DDC">
      <w:pPr>
        <w:jc w:val="both"/>
        <w:rPr>
          <w:rFonts w:asciiTheme="minorHAnsi" w:hAnsiTheme="minorHAnsi" w:cstheme="minorHAnsi"/>
        </w:rPr>
      </w:pPr>
      <w:r w:rsidRPr="00954480">
        <w:rPr>
          <w:rFonts w:asciiTheme="minorHAnsi" w:hAnsiTheme="minorHAnsi" w:cstheme="minorHAnsi"/>
        </w:rPr>
        <w:t>No se emiten recomendaciones respecto a esta fracción.</w:t>
      </w:r>
    </w:p>
    <w:p w:rsidR="00BE2486" w:rsidRPr="00954480" w:rsidRDefault="00BE2486" w:rsidP="00B907DD">
      <w:pPr>
        <w:ind w:firstLine="708"/>
        <w:jc w:val="both"/>
        <w:rPr>
          <w:rFonts w:asciiTheme="minorHAnsi" w:hAnsiTheme="minorHAnsi" w:cstheme="minorHAnsi"/>
        </w:rPr>
      </w:pP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F7557A" w:rsidRPr="00954480" w:rsidRDefault="00F7557A" w:rsidP="00A73DDC">
      <w:pPr>
        <w:jc w:val="both"/>
        <w:rPr>
          <w:rFonts w:asciiTheme="minorHAnsi" w:hAnsiTheme="minorHAnsi" w:cstheme="minorHAnsi"/>
        </w:rPr>
      </w:pPr>
      <w:r w:rsidRPr="00954480">
        <w:rPr>
          <w:rFonts w:asciiTheme="minorHAnsi" w:hAnsiTheme="minorHAnsi" w:cstheme="minorHAnsi"/>
        </w:rPr>
        <w:t>No se emiten recomendaciones respecto a esta fracción.</w:t>
      </w:r>
    </w:p>
    <w:p w:rsidR="00BE2486" w:rsidRPr="00954480" w:rsidRDefault="00BE2486" w:rsidP="00B907DD">
      <w:pPr>
        <w:ind w:firstLine="708"/>
        <w:jc w:val="both"/>
        <w:rPr>
          <w:rFonts w:asciiTheme="minorHAnsi" w:hAnsiTheme="minorHAnsi" w:cstheme="minorHAnsi"/>
        </w:rPr>
      </w:pP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43334E" w:rsidRPr="00954480" w:rsidRDefault="00BF56EF" w:rsidP="00B907DD">
      <w:pPr>
        <w:pStyle w:val="Prrafodelista"/>
        <w:numPr>
          <w:ilvl w:val="0"/>
          <w:numId w:val="5"/>
        </w:numPr>
        <w:jc w:val="both"/>
        <w:rPr>
          <w:rFonts w:asciiTheme="minorHAnsi" w:hAnsiTheme="minorHAnsi" w:cstheme="minorHAnsi"/>
        </w:rPr>
      </w:pPr>
      <w:r w:rsidRPr="00954480">
        <w:rPr>
          <w:rFonts w:asciiTheme="minorHAnsi" w:hAnsiTheme="minorHAnsi" w:cstheme="minorHAnsi"/>
        </w:rPr>
        <w:t xml:space="preserve">Se recomienda que en el listado </w:t>
      </w:r>
      <w:r w:rsidR="0043334E" w:rsidRPr="00954480">
        <w:rPr>
          <w:rFonts w:asciiTheme="minorHAnsi" w:hAnsiTheme="minorHAnsi" w:cstheme="minorHAnsi"/>
        </w:rPr>
        <w:t>se desglos</w:t>
      </w:r>
      <w:r w:rsidRPr="00954480">
        <w:rPr>
          <w:rFonts w:asciiTheme="minorHAnsi" w:hAnsiTheme="minorHAnsi" w:cstheme="minorHAnsi"/>
        </w:rPr>
        <w:t xml:space="preserve">e </w:t>
      </w:r>
      <w:r w:rsidR="00D13325" w:rsidRPr="00954480">
        <w:rPr>
          <w:rFonts w:asciiTheme="minorHAnsi" w:hAnsiTheme="minorHAnsi" w:cstheme="minorHAnsi"/>
        </w:rPr>
        <w:t xml:space="preserve">cualquier deducción a las percepciones </w:t>
      </w:r>
      <w:r w:rsidR="0043334E" w:rsidRPr="00954480">
        <w:rPr>
          <w:rFonts w:asciiTheme="minorHAnsi" w:hAnsiTheme="minorHAnsi" w:cstheme="minorHAnsi"/>
        </w:rPr>
        <w:t xml:space="preserve">que reciban con </w:t>
      </w:r>
      <w:r w:rsidR="00E63252" w:rsidRPr="00954480">
        <w:rPr>
          <w:rFonts w:asciiTheme="minorHAnsi" w:hAnsiTheme="minorHAnsi" w:cstheme="minorHAnsi"/>
        </w:rPr>
        <w:t>respecto al</w:t>
      </w:r>
      <w:r w:rsidR="0043334E" w:rsidRPr="00954480">
        <w:rPr>
          <w:rFonts w:asciiTheme="minorHAnsi" w:hAnsiTheme="minorHAnsi" w:cstheme="minorHAnsi"/>
        </w:rPr>
        <w:t xml:space="preserve"> ejercicio de sus funciones.</w:t>
      </w:r>
      <w:r w:rsidR="00B41DAA" w:rsidRPr="00954480">
        <w:rPr>
          <w:rFonts w:asciiTheme="minorHAnsi" w:hAnsiTheme="minorHAnsi" w:cstheme="minorHAnsi"/>
        </w:rPr>
        <w:t xml:space="preserve"> </w:t>
      </w:r>
      <w:r w:rsidR="00E50E08" w:rsidRPr="00954480">
        <w:rPr>
          <w:rFonts w:asciiTheme="minorHAnsi" w:hAnsiTheme="minorHAnsi" w:cstheme="minorHAnsi"/>
          <w:b/>
        </w:rPr>
        <w:t>NO ATENDIDA</w:t>
      </w:r>
    </w:p>
    <w:p w:rsidR="00BE2486" w:rsidRPr="00954480" w:rsidRDefault="00BE2486" w:rsidP="00B907DD">
      <w:pPr>
        <w:jc w:val="both"/>
        <w:rPr>
          <w:rFonts w:asciiTheme="minorHAnsi" w:hAnsiTheme="minorHAnsi" w:cstheme="minorHAnsi"/>
        </w:rPr>
      </w:pPr>
    </w:p>
    <w:p w:rsidR="00F7557A" w:rsidRPr="00954480" w:rsidRDefault="00F7557A" w:rsidP="00F7557A">
      <w:pPr>
        <w:jc w:val="both"/>
        <w:rPr>
          <w:rFonts w:asciiTheme="minorHAnsi" w:hAnsiTheme="minorHAnsi" w:cstheme="minorHAnsi"/>
          <w:b/>
          <w:szCs w:val="20"/>
        </w:rPr>
      </w:pPr>
      <w:r w:rsidRPr="00954480">
        <w:rPr>
          <w:rFonts w:asciiTheme="minorHAnsi" w:hAnsiTheme="minorHAnsi" w:cstheme="minorHAnsi"/>
          <w:b/>
          <w:szCs w:val="20"/>
        </w:rPr>
        <w:t xml:space="preserve">VIII.- Respecto del presupuesto de egresos: </w:t>
      </w:r>
    </w:p>
    <w:p w:rsidR="00F7557A" w:rsidRPr="00954480" w:rsidRDefault="00F7557A" w:rsidP="00F7557A">
      <w:pPr>
        <w:jc w:val="both"/>
        <w:rPr>
          <w:rFonts w:asciiTheme="minorHAnsi" w:hAnsiTheme="minorHAnsi" w:cstheme="minorHAnsi"/>
          <w:b/>
          <w:szCs w:val="20"/>
        </w:rPr>
      </w:pPr>
      <w:r w:rsidRPr="00954480">
        <w:rPr>
          <w:rFonts w:asciiTheme="minorHAnsi" w:hAnsiTheme="minorHAnsi" w:cstheme="minorHAnsi"/>
          <w:b/>
          <w:szCs w:val="20"/>
        </w:rPr>
        <w:t>a)  Se presentará de manera detallada en los términos y formato en el que fue aprobado, agrupándolo por programas, grupos, partidas de gastos</w:t>
      </w:r>
      <w:r w:rsidR="002A270D" w:rsidRPr="00954480">
        <w:rPr>
          <w:rFonts w:asciiTheme="minorHAnsi" w:hAnsiTheme="minorHAnsi" w:cstheme="minorHAnsi"/>
          <w:b/>
          <w:szCs w:val="20"/>
        </w:rPr>
        <w:t>, informes</w:t>
      </w:r>
      <w:r w:rsidRPr="00954480">
        <w:rPr>
          <w:rFonts w:asciiTheme="minorHAnsi" w:hAnsiTheme="minorHAnsi" w:cstheme="minorHAnsi"/>
          <w:b/>
          <w:szCs w:val="20"/>
        </w:rPr>
        <w:t xml:space="preserve"> </w:t>
      </w:r>
      <w:r w:rsidR="002A270D" w:rsidRPr="00954480">
        <w:rPr>
          <w:rFonts w:asciiTheme="minorHAnsi" w:hAnsiTheme="minorHAnsi" w:cstheme="minorHAnsi"/>
          <w:b/>
          <w:szCs w:val="20"/>
        </w:rPr>
        <w:t>sobre su ejecución</w:t>
      </w:r>
      <w:r w:rsidRPr="00954480">
        <w:rPr>
          <w:rFonts w:asciiTheme="minorHAnsi" w:hAnsiTheme="minorHAnsi" w:cstheme="minorHAnsi"/>
          <w:b/>
          <w:szCs w:val="20"/>
        </w:rPr>
        <w:t>; así como de la situación financiera y en su caso, respecto a la deuda pública;</w:t>
      </w:r>
    </w:p>
    <w:p w:rsidR="00F7557A" w:rsidRPr="00954480" w:rsidRDefault="00F7557A" w:rsidP="00F7557A">
      <w:pPr>
        <w:jc w:val="both"/>
        <w:rPr>
          <w:rFonts w:asciiTheme="minorHAnsi" w:hAnsiTheme="minorHAnsi" w:cstheme="minorHAnsi"/>
          <w:b/>
          <w:szCs w:val="20"/>
        </w:rPr>
      </w:pPr>
      <w:r w:rsidRPr="00954480">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864764" w:rsidRPr="00954480" w:rsidRDefault="00864764" w:rsidP="00B907DD">
      <w:pPr>
        <w:pStyle w:val="Prrafodelista"/>
        <w:numPr>
          <w:ilvl w:val="0"/>
          <w:numId w:val="3"/>
        </w:numPr>
        <w:jc w:val="both"/>
        <w:rPr>
          <w:rFonts w:asciiTheme="minorHAnsi" w:hAnsiTheme="minorHAnsi" w:cstheme="minorHAnsi"/>
        </w:rPr>
      </w:pPr>
      <w:r w:rsidRPr="00954480">
        <w:rPr>
          <w:rFonts w:asciiTheme="minorHAnsi" w:hAnsiTheme="minorHAnsi" w:cstheme="minorHAnsi"/>
        </w:rPr>
        <w:lastRenderedPageBreak/>
        <w:t xml:space="preserve">Con respecto al Presupuesto de Egresos </w:t>
      </w:r>
      <w:r w:rsidRPr="00954480">
        <w:t>aprobado para el ejercicio fiscal en curso</w:t>
      </w:r>
      <w:r w:rsidRPr="00954480">
        <w:rPr>
          <w:rFonts w:asciiTheme="minorHAnsi" w:hAnsiTheme="minorHAnsi" w:cstheme="minorHAnsi"/>
        </w:rPr>
        <w:t xml:space="preserve"> se recomienda publicar información por programas.</w:t>
      </w:r>
      <w:r w:rsidR="00EB6AD2" w:rsidRPr="00954480">
        <w:rPr>
          <w:rFonts w:asciiTheme="minorHAnsi" w:hAnsiTheme="minorHAnsi" w:cstheme="minorHAnsi"/>
          <w:b/>
        </w:rPr>
        <w:t xml:space="preserve"> NO ATENDIDA</w:t>
      </w:r>
    </w:p>
    <w:p w:rsidR="000D1974" w:rsidRPr="00954480" w:rsidRDefault="000D1974" w:rsidP="000D1974">
      <w:pPr>
        <w:pStyle w:val="Prrafodelista"/>
        <w:numPr>
          <w:ilvl w:val="0"/>
          <w:numId w:val="3"/>
        </w:numPr>
        <w:jc w:val="both"/>
        <w:rPr>
          <w:rFonts w:asciiTheme="minorHAnsi" w:hAnsiTheme="minorHAnsi" w:cstheme="minorHAnsi"/>
          <w:szCs w:val="20"/>
        </w:rPr>
      </w:pPr>
      <w:r w:rsidRPr="00954480">
        <w:rPr>
          <w:rFonts w:asciiTheme="minorHAnsi" w:hAnsiTheme="minorHAnsi" w:cstheme="minorHAnsi"/>
          <w:szCs w:val="20"/>
        </w:rPr>
        <w:t>Se recomienda  publicar la versión ciudadana del Presupuesto de Egresos, la cual deberá ser acorde a la definición    registrada  en la fracción XIX del artículo  3 de la Ley de Presupuesto y Ejercicio del  Gasto  Publico  del  Estado  de  Baja  California,  en  la  que  señala  que  el  Presupuesto Ciudadano es el desglose explicativo e ilustrado del origen, distribución, aplicación y objetivo de los recursos públicos aprobados y asignados en los presupuestos de egresos anuales de los Sujetos Obligados.</w:t>
      </w:r>
      <w:r w:rsidR="00EB6AD2" w:rsidRPr="00954480">
        <w:rPr>
          <w:rFonts w:asciiTheme="minorHAnsi" w:hAnsiTheme="minorHAnsi" w:cstheme="minorHAnsi"/>
          <w:b/>
        </w:rPr>
        <w:t xml:space="preserve"> NO ATENDIDA</w:t>
      </w:r>
    </w:p>
    <w:p w:rsidR="000D1974" w:rsidRPr="00954480" w:rsidRDefault="000D1974" w:rsidP="000D1974">
      <w:pPr>
        <w:pStyle w:val="Prrafodelista"/>
        <w:numPr>
          <w:ilvl w:val="0"/>
          <w:numId w:val="3"/>
        </w:numPr>
        <w:jc w:val="both"/>
        <w:rPr>
          <w:rFonts w:asciiTheme="minorHAnsi" w:hAnsiTheme="minorHAnsi" w:cstheme="minorHAnsi"/>
          <w:szCs w:val="20"/>
        </w:rPr>
      </w:pPr>
      <w:r w:rsidRPr="00954480">
        <w:rPr>
          <w:rFonts w:asciiTheme="minorHAnsi" w:hAnsiTheme="minorHAnsi" w:cstheme="minorHAnsi"/>
          <w:szCs w:val="20"/>
        </w:rPr>
        <w:t>Se recomienda actualizar el texto de la fracción de tal manera que refleje la redacción vigente.</w:t>
      </w:r>
      <w:r w:rsidR="00EB6AD2" w:rsidRPr="00954480">
        <w:rPr>
          <w:rFonts w:asciiTheme="minorHAnsi" w:hAnsiTheme="minorHAnsi" w:cstheme="minorHAnsi"/>
          <w:b/>
        </w:rPr>
        <w:t xml:space="preserve"> ATENDIDA</w:t>
      </w:r>
    </w:p>
    <w:p w:rsidR="000D1974" w:rsidRPr="00954480" w:rsidRDefault="000D1974" w:rsidP="000D1974">
      <w:pPr>
        <w:pStyle w:val="Prrafodelista"/>
        <w:ind w:left="1068"/>
        <w:jc w:val="both"/>
        <w:rPr>
          <w:rFonts w:asciiTheme="minorHAnsi" w:hAnsiTheme="minorHAnsi" w:cstheme="minorHAnsi"/>
        </w:rPr>
      </w:pP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t>IX.- Las enajenaciones de bienes que realicen por cualquier título o acto, indicando los motivos, beneficiarios o adquirientes, y los montos de las operaciones;</w:t>
      </w:r>
    </w:p>
    <w:p w:rsidR="00AA0856" w:rsidRPr="00954480" w:rsidRDefault="00AA0856" w:rsidP="00B907DD">
      <w:pPr>
        <w:jc w:val="both"/>
        <w:rPr>
          <w:rFonts w:asciiTheme="minorHAnsi" w:hAnsiTheme="minorHAnsi" w:cstheme="minorHAnsi"/>
        </w:rPr>
      </w:pPr>
      <w:r w:rsidRPr="00954480">
        <w:rPr>
          <w:rFonts w:asciiTheme="minorHAnsi" w:hAnsiTheme="minorHAnsi" w:cstheme="minorHAnsi"/>
        </w:rPr>
        <w:t>No se emiten recomendaciones respecto a esta fracción.</w:t>
      </w:r>
    </w:p>
    <w:p w:rsidR="00813121" w:rsidRPr="00954480" w:rsidRDefault="00813121" w:rsidP="00B907DD">
      <w:pPr>
        <w:jc w:val="both"/>
        <w:rPr>
          <w:rFonts w:asciiTheme="minorHAnsi" w:hAnsiTheme="minorHAnsi" w:cstheme="minorHAnsi"/>
          <w:szCs w:val="20"/>
        </w:rPr>
      </w:pP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t>X.- Los permisos, concesiones y autorizaciones otorgadas, especificando sus titulares, concepto y vigencia;</w:t>
      </w:r>
    </w:p>
    <w:p w:rsidR="00BF56EF" w:rsidRPr="00954480" w:rsidRDefault="00BF56EF" w:rsidP="00B907DD">
      <w:pPr>
        <w:jc w:val="both"/>
        <w:rPr>
          <w:rFonts w:asciiTheme="minorHAnsi" w:hAnsiTheme="minorHAnsi" w:cstheme="minorHAnsi"/>
        </w:rPr>
      </w:pPr>
      <w:r w:rsidRPr="00954480">
        <w:rPr>
          <w:rFonts w:asciiTheme="minorHAnsi" w:hAnsiTheme="minorHAnsi" w:cstheme="minorHAnsi"/>
        </w:rPr>
        <w:t>No se emiten recomendaciones respecto a esta fracción.</w:t>
      </w:r>
    </w:p>
    <w:p w:rsidR="00900E3D" w:rsidRPr="00954480" w:rsidRDefault="00900E3D" w:rsidP="00B907DD">
      <w:pPr>
        <w:jc w:val="both"/>
        <w:rPr>
          <w:rFonts w:asciiTheme="minorHAnsi" w:hAnsiTheme="minorHAnsi" w:cstheme="minorHAnsi"/>
        </w:rPr>
      </w:pPr>
    </w:p>
    <w:p w:rsidR="00861104" w:rsidRPr="00954480" w:rsidRDefault="00861104" w:rsidP="00B907DD">
      <w:pPr>
        <w:ind w:left="-76"/>
        <w:jc w:val="both"/>
      </w:pPr>
      <w:r w:rsidRPr="00954480">
        <w:rPr>
          <w:rFonts w:asciiTheme="minorHAnsi" w:hAnsiTheme="minorHAnsi" w:cstheme="minorHAnsi"/>
          <w:b/>
        </w:rPr>
        <w:t>XI.- Los convenios celebrados con instituciones públicas o privadas;</w:t>
      </w:r>
    </w:p>
    <w:p w:rsidR="00E823CC" w:rsidRPr="00954480" w:rsidRDefault="00E823CC" w:rsidP="00E823CC">
      <w:pPr>
        <w:jc w:val="both"/>
        <w:rPr>
          <w:rFonts w:asciiTheme="minorHAnsi" w:hAnsiTheme="minorHAnsi" w:cstheme="minorHAnsi"/>
        </w:rPr>
      </w:pPr>
      <w:r w:rsidRPr="00954480">
        <w:rPr>
          <w:rFonts w:asciiTheme="minorHAnsi" w:hAnsiTheme="minorHAnsi" w:cstheme="minorHAnsi"/>
        </w:rPr>
        <w:t>No se emiten recomendaciones respecto a esta fracción.</w:t>
      </w:r>
    </w:p>
    <w:p w:rsidR="00900E3D" w:rsidRPr="00954480" w:rsidRDefault="00900E3D" w:rsidP="00B907DD">
      <w:pPr>
        <w:jc w:val="both"/>
        <w:rPr>
          <w:rFonts w:asciiTheme="minorHAnsi" w:hAnsiTheme="minorHAnsi" w:cstheme="minorHAnsi"/>
          <w:szCs w:val="20"/>
        </w:rPr>
      </w:pPr>
    </w:p>
    <w:p w:rsidR="00861104" w:rsidRPr="00954480" w:rsidRDefault="00861104" w:rsidP="00B907DD">
      <w:pPr>
        <w:tabs>
          <w:tab w:val="left" w:pos="3418"/>
        </w:tabs>
        <w:jc w:val="both"/>
        <w:rPr>
          <w:rFonts w:asciiTheme="minorHAnsi" w:hAnsiTheme="minorHAnsi" w:cstheme="minorHAnsi"/>
          <w:b/>
        </w:rPr>
      </w:pPr>
      <w:r w:rsidRPr="00954480">
        <w:rPr>
          <w:rFonts w:asciiTheme="minorHAnsi" w:hAnsiTheme="minorHAnsi" w:cstheme="minorHAnsi"/>
          <w:b/>
        </w:rPr>
        <w:t>XII.- El padrón de proveedores;</w:t>
      </w:r>
      <w:r w:rsidR="00A4093B" w:rsidRPr="00954480">
        <w:rPr>
          <w:rFonts w:asciiTheme="minorHAnsi" w:hAnsiTheme="minorHAnsi" w:cstheme="minorHAnsi"/>
          <w:b/>
        </w:rPr>
        <w:tab/>
      </w:r>
    </w:p>
    <w:p w:rsidR="00E823CC" w:rsidRPr="00954480" w:rsidRDefault="00E823CC" w:rsidP="00E823CC">
      <w:pPr>
        <w:jc w:val="both"/>
        <w:rPr>
          <w:rFonts w:asciiTheme="minorHAnsi" w:hAnsiTheme="minorHAnsi" w:cstheme="minorHAnsi"/>
        </w:rPr>
      </w:pPr>
      <w:r w:rsidRPr="00954480">
        <w:rPr>
          <w:rFonts w:asciiTheme="minorHAnsi" w:hAnsiTheme="minorHAnsi" w:cstheme="minorHAnsi"/>
        </w:rPr>
        <w:t>No se emiten recomendaciones respecto a esta fracción.</w:t>
      </w:r>
    </w:p>
    <w:p w:rsidR="00E838DE" w:rsidRPr="00954480" w:rsidRDefault="00E838DE" w:rsidP="00B907DD">
      <w:pPr>
        <w:jc w:val="both"/>
        <w:rPr>
          <w:rFonts w:asciiTheme="minorHAnsi" w:hAnsiTheme="minorHAnsi" w:cstheme="minorHAnsi"/>
        </w:rPr>
      </w:pP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t>XIII.- El padrón inmobiliario y el vehicular;</w:t>
      </w:r>
    </w:p>
    <w:p w:rsidR="00AC6786" w:rsidRPr="00954480" w:rsidRDefault="004B0B51" w:rsidP="00B907DD">
      <w:pPr>
        <w:pStyle w:val="Prrafodelista"/>
        <w:numPr>
          <w:ilvl w:val="0"/>
          <w:numId w:val="6"/>
        </w:numPr>
        <w:jc w:val="both"/>
        <w:rPr>
          <w:rFonts w:asciiTheme="minorHAnsi" w:hAnsiTheme="minorHAnsi" w:cstheme="minorHAnsi"/>
        </w:rPr>
      </w:pPr>
      <w:r w:rsidRPr="00954480">
        <w:rPr>
          <w:rFonts w:asciiTheme="minorHAnsi" w:hAnsiTheme="minorHAnsi" w:cstheme="minorHAnsi"/>
        </w:rPr>
        <w:t xml:space="preserve">Con respecto al padrón inmobiliario se recomienda incorporar al documento publicado el valor y clave catastral para 10 de los 32 registros. </w:t>
      </w:r>
      <w:r w:rsidR="00E2273D" w:rsidRPr="00954480">
        <w:rPr>
          <w:rFonts w:asciiTheme="minorHAnsi" w:hAnsiTheme="minorHAnsi" w:cstheme="minorHAnsi"/>
          <w:b/>
        </w:rPr>
        <w:t>NO ATENDIDA</w:t>
      </w:r>
    </w:p>
    <w:p w:rsidR="004E2CBA" w:rsidRPr="00954480" w:rsidRDefault="00861104" w:rsidP="00B907DD">
      <w:pPr>
        <w:jc w:val="both"/>
        <w:rPr>
          <w:rFonts w:asciiTheme="minorHAnsi" w:hAnsiTheme="minorHAnsi" w:cstheme="minorHAnsi"/>
          <w:b/>
        </w:rPr>
      </w:pPr>
      <w:r w:rsidRPr="00954480">
        <w:rPr>
          <w:rFonts w:asciiTheme="minorHAnsi" w:hAnsiTheme="minorHAnsi" w:cstheme="minorHAnsi"/>
          <w:b/>
        </w:rPr>
        <w:lastRenderedPageBreak/>
        <w:t>XIV.- Las resoluciones de los procedimientos de responsabilidad administrativa, una vez que hayan causado estado;</w:t>
      </w:r>
    </w:p>
    <w:p w:rsidR="004E465E" w:rsidRPr="00954480" w:rsidRDefault="004E465E" w:rsidP="00A73DDC">
      <w:pPr>
        <w:jc w:val="both"/>
        <w:rPr>
          <w:rFonts w:asciiTheme="minorHAnsi" w:hAnsiTheme="minorHAnsi" w:cstheme="minorHAnsi"/>
        </w:rPr>
      </w:pPr>
      <w:r w:rsidRPr="00954480">
        <w:rPr>
          <w:rFonts w:asciiTheme="minorHAnsi" w:hAnsiTheme="minorHAnsi" w:cstheme="minorHAnsi"/>
        </w:rPr>
        <w:t>No se emiten recomendaciones respecto a esta fracción.</w:t>
      </w:r>
    </w:p>
    <w:p w:rsidR="00E838DE" w:rsidRPr="00954480" w:rsidRDefault="00E838DE" w:rsidP="00B907DD">
      <w:pPr>
        <w:ind w:firstLine="708"/>
        <w:jc w:val="both"/>
        <w:rPr>
          <w:rFonts w:asciiTheme="minorHAnsi" w:hAnsiTheme="minorHAnsi" w:cstheme="minorHAnsi"/>
        </w:rPr>
      </w:pP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t>XV.- Los montos asignados y criterios de acceso a los programas sociales;</w:t>
      </w:r>
    </w:p>
    <w:p w:rsidR="00062354" w:rsidRPr="00954480" w:rsidRDefault="00062354" w:rsidP="00A73DDC">
      <w:pPr>
        <w:jc w:val="both"/>
        <w:rPr>
          <w:rFonts w:asciiTheme="minorHAnsi" w:hAnsiTheme="minorHAnsi" w:cstheme="minorHAnsi"/>
        </w:rPr>
      </w:pPr>
      <w:r w:rsidRPr="00954480">
        <w:rPr>
          <w:rFonts w:asciiTheme="minorHAnsi" w:hAnsiTheme="minorHAnsi" w:cstheme="minorHAnsi"/>
        </w:rPr>
        <w:t>No se emiten recomendaciones respecto a esta fracción.</w:t>
      </w:r>
    </w:p>
    <w:p w:rsidR="00E838DE" w:rsidRPr="00954480" w:rsidRDefault="00E838DE" w:rsidP="00B907DD">
      <w:pPr>
        <w:ind w:firstLine="708"/>
        <w:jc w:val="both"/>
        <w:rPr>
          <w:rFonts w:asciiTheme="minorHAnsi" w:hAnsiTheme="minorHAnsi" w:cstheme="minorHAnsi"/>
        </w:rPr>
      </w:pP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t>XVI.- Las leyes, reglamentos, decretos, circulares y demás normas que les resulten aplicables;</w:t>
      </w:r>
    </w:p>
    <w:p w:rsidR="00BF56EF" w:rsidRPr="00954480" w:rsidRDefault="00BF56EF" w:rsidP="00A73DDC">
      <w:pPr>
        <w:jc w:val="both"/>
        <w:rPr>
          <w:rFonts w:asciiTheme="minorHAnsi" w:hAnsiTheme="minorHAnsi" w:cstheme="minorHAnsi"/>
        </w:rPr>
      </w:pPr>
      <w:r w:rsidRPr="00954480">
        <w:rPr>
          <w:rFonts w:asciiTheme="minorHAnsi" w:hAnsiTheme="minorHAnsi" w:cstheme="minorHAnsi"/>
        </w:rPr>
        <w:t>No se emiten recomendaciones respecto a esta fracción.</w:t>
      </w:r>
    </w:p>
    <w:p w:rsidR="00E838DE" w:rsidRPr="00954480" w:rsidRDefault="00E838DE" w:rsidP="00B907DD">
      <w:pPr>
        <w:ind w:left="708"/>
        <w:jc w:val="both"/>
        <w:rPr>
          <w:rFonts w:asciiTheme="minorHAnsi" w:hAnsiTheme="minorHAnsi" w:cstheme="minorHAnsi"/>
        </w:rPr>
      </w:pP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t>XVII.- Las convocatorias a concurso o licitación pública para las obras públicas, concesiones, adquisiciones, enajenaciones, arrendamientos y prestación de servicios, así como los resultados de aquellos, que contendrán por lo menos:</w:t>
      </w: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t>a).- La justificación técnica y financiera;</w:t>
      </w: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t>b).- Número de Identificación precisa del contrato, el monto, el nombre o razón social de la persona física o moral con quien se haya celebrado el contrato, el plazo y demás condiciones de cumplimiento; y</w:t>
      </w: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t>c).- En su caso, las modificaciones a las condiciones originales del contrato.</w:t>
      </w:r>
    </w:p>
    <w:p w:rsidR="00874426" w:rsidRPr="00954480" w:rsidRDefault="00874426" w:rsidP="00B907DD">
      <w:pPr>
        <w:jc w:val="both"/>
        <w:rPr>
          <w:rFonts w:asciiTheme="minorHAnsi" w:hAnsiTheme="minorHAnsi" w:cstheme="minorHAnsi"/>
        </w:rPr>
      </w:pPr>
      <w:r w:rsidRPr="00954480">
        <w:rPr>
          <w:rFonts w:asciiTheme="minorHAnsi" w:hAnsiTheme="minorHAnsi" w:cstheme="minorHAnsi"/>
        </w:rPr>
        <w:t>No se emiten recomendaciones respecto a esta fracción.</w:t>
      </w:r>
    </w:p>
    <w:p w:rsidR="00E838DE" w:rsidRPr="00954480" w:rsidRDefault="00E838DE" w:rsidP="00B907DD">
      <w:pPr>
        <w:ind w:left="708"/>
        <w:jc w:val="both"/>
        <w:rPr>
          <w:rFonts w:asciiTheme="minorHAnsi" w:hAnsiTheme="minorHAnsi" w:cstheme="minorHAnsi"/>
        </w:rPr>
      </w:pPr>
    </w:p>
    <w:p w:rsidR="00861104" w:rsidRPr="00954480" w:rsidRDefault="00861104" w:rsidP="00B907DD">
      <w:pPr>
        <w:jc w:val="both"/>
        <w:rPr>
          <w:rFonts w:asciiTheme="minorHAnsi" w:hAnsiTheme="minorHAnsi" w:cstheme="minorHAnsi"/>
        </w:rPr>
      </w:pPr>
      <w:r w:rsidRPr="00954480">
        <w:rPr>
          <w:rFonts w:asciiTheme="minorHAnsi" w:hAnsiTheme="minorHAnsi" w:cstheme="minorHAnsi"/>
          <w:b/>
        </w:rPr>
        <w:t>XVIII.- Las adjudicaciones directas, señalando los motivos y fundamentos legales aplicados;</w:t>
      </w:r>
    </w:p>
    <w:p w:rsidR="00380993" w:rsidRPr="00954480" w:rsidRDefault="00380993" w:rsidP="00380993">
      <w:pPr>
        <w:jc w:val="both"/>
        <w:rPr>
          <w:rFonts w:asciiTheme="minorHAnsi" w:hAnsiTheme="minorHAnsi" w:cstheme="minorHAnsi"/>
        </w:rPr>
      </w:pPr>
      <w:r w:rsidRPr="00954480">
        <w:rPr>
          <w:rFonts w:asciiTheme="minorHAnsi" w:hAnsiTheme="minorHAnsi" w:cstheme="minorHAnsi"/>
        </w:rPr>
        <w:t>No se emiten recomendaciones respecto a esta fracción.</w:t>
      </w:r>
    </w:p>
    <w:p w:rsidR="009235F3" w:rsidRPr="00954480" w:rsidRDefault="009235F3" w:rsidP="00B907DD">
      <w:pPr>
        <w:ind w:left="708"/>
        <w:jc w:val="both"/>
        <w:rPr>
          <w:rFonts w:asciiTheme="minorHAnsi" w:hAnsiTheme="minorHAnsi" w:cstheme="minorHAnsi"/>
          <w:b/>
        </w:rPr>
      </w:pPr>
    </w:p>
    <w:p w:rsidR="00BF56EF" w:rsidRPr="00954480" w:rsidRDefault="00861104" w:rsidP="00B907DD">
      <w:pPr>
        <w:jc w:val="both"/>
        <w:rPr>
          <w:b/>
        </w:rPr>
      </w:pPr>
      <w:r w:rsidRPr="00954480">
        <w:rPr>
          <w:b/>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867893" w:rsidRPr="00954480" w:rsidRDefault="00867893" w:rsidP="00867893">
      <w:pPr>
        <w:jc w:val="both"/>
      </w:pPr>
      <w:r w:rsidRPr="00954480">
        <w:lastRenderedPageBreak/>
        <w:t xml:space="preserve">La información publicada corresponde a </w:t>
      </w:r>
      <w:r w:rsidR="00A73DDC" w:rsidRPr="00954480">
        <w:t>resultados</w:t>
      </w:r>
      <w:r w:rsidRPr="00954480">
        <w:t xml:space="preserve"> de licitaciones </w:t>
      </w:r>
      <w:r w:rsidR="00A73DDC" w:rsidRPr="00954480">
        <w:t>públicas</w:t>
      </w:r>
      <w:r w:rsidRPr="00954480">
        <w:t xml:space="preserve"> las cuales deberán ser reportadas en la fracción XVII. Se recomienda incorporar en esta fracción Los contratos de servicios profesionales refieren al documento formalizado mediante el cual  una  persona,  normalmente  un  profesional  en  algún  área,  se  obliga  con  respecto  a  otra  a realizar  una  serie  de  servicios  a  cambio  de  una  retribución.  El  pago  de  dicho  contrato  es dirigido  al  cumplimiento  de  metas,  horas,  objetivos,  proyectos,  etcétera.  El  prestador  de servicios  es  la  persona  que  se  obliga  a  realizar  los  servicios  especificados  en  este documento. En esta fracción se deberá publicar la relación de contratos para contratación de servicios profesionales, consultorías, asesorí</w:t>
      </w:r>
      <w:r w:rsidR="00A73DDC" w:rsidRPr="00954480">
        <w:t xml:space="preserve">as, estudios e investigaciones indicando: </w:t>
      </w:r>
    </w:p>
    <w:p w:rsidR="00A73DDC" w:rsidRPr="00954480" w:rsidRDefault="00A73DDC" w:rsidP="00A73DDC">
      <w:pPr>
        <w:pStyle w:val="Prrafodelista"/>
        <w:numPr>
          <w:ilvl w:val="0"/>
          <w:numId w:val="34"/>
        </w:numPr>
        <w:jc w:val="both"/>
      </w:pPr>
      <w:r w:rsidRPr="00954480">
        <w:t xml:space="preserve">El número de contrato, </w:t>
      </w:r>
      <w:r w:rsidR="00125940" w:rsidRPr="00954480">
        <w:rPr>
          <w:rFonts w:asciiTheme="minorHAnsi" w:hAnsiTheme="minorHAnsi" w:cstheme="minorHAnsi"/>
          <w:b/>
        </w:rPr>
        <w:t>NO ATENDIDA</w:t>
      </w:r>
    </w:p>
    <w:p w:rsidR="00A73DDC" w:rsidRPr="00954480" w:rsidRDefault="00A73DDC" w:rsidP="00A73DDC">
      <w:pPr>
        <w:pStyle w:val="Prrafodelista"/>
        <w:numPr>
          <w:ilvl w:val="0"/>
          <w:numId w:val="34"/>
        </w:numPr>
        <w:jc w:val="both"/>
      </w:pPr>
      <w:r w:rsidRPr="00954480">
        <w:t xml:space="preserve">Su fecha de celebración, </w:t>
      </w:r>
      <w:r w:rsidR="00125940" w:rsidRPr="00954480">
        <w:rPr>
          <w:rFonts w:asciiTheme="minorHAnsi" w:hAnsiTheme="minorHAnsi" w:cstheme="minorHAnsi"/>
          <w:b/>
        </w:rPr>
        <w:t>NO ATENDIDA</w:t>
      </w:r>
    </w:p>
    <w:p w:rsidR="00A73DDC" w:rsidRPr="00954480" w:rsidRDefault="00A73DDC" w:rsidP="00A73DDC">
      <w:pPr>
        <w:pStyle w:val="Prrafodelista"/>
        <w:numPr>
          <w:ilvl w:val="0"/>
          <w:numId w:val="34"/>
        </w:numPr>
        <w:jc w:val="both"/>
      </w:pPr>
      <w:r w:rsidRPr="00954480">
        <w:t xml:space="preserve">El nombre o razón social del proveedor, </w:t>
      </w:r>
      <w:r w:rsidR="00125940" w:rsidRPr="00954480">
        <w:rPr>
          <w:rFonts w:asciiTheme="minorHAnsi" w:hAnsiTheme="minorHAnsi" w:cstheme="minorHAnsi"/>
          <w:b/>
        </w:rPr>
        <w:t>NO ATENDIDA</w:t>
      </w:r>
    </w:p>
    <w:p w:rsidR="00A73DDC" w:rsidRPr="00954480" w:rsidRDefault="00A73DDC" w:rsidP="00A73DDC">
      <w:pPr>
        <w:pStyle w:val="Prrafodelista"/>
        <w:numPr>
          <w:ilvl w:val="0"/>
          <w:numId w:val="34"/>
        </w:numPr>
        <w:jc w:val="both"/>
      </w:pPr>
      <w:r w:rsidRPr="00954480">
        <w:t xml:space="preserve">El objeto del contrato, y </w:t>
      </w:r>
      <w:r w:rsidR="00125940" w:rsidRPr="00954480">
        <w:rPr>
          <w:rFonts w:asciiTheme="minorHAnsi" w:hAnsiTheme="minorHAnsi" w:cstheme="minorHAnsi"/>
          <w:b/>
        </w:rPr>
        <w:t>NO ATENDIDA</w:t>
      </w:r>
    </w:p>
    <w:p w:rsidR="00A73DDC" w:rsidRPr="00954480" w:rsidRDefault="00A73DDC" w:rsidP="00A73DDC">
      <w:pPr>
        <w:pStyle w:val="Prrafodelista"/>
        <w:numPr>
          <w:ilvl w:val="0"/>
          <w:numId w:val="34"/>
        </w:numPr>
        <w:jc w:val="both"/>
      </w:pPr>
      <w:r w:rsidRPr="00954480">
        <w:t>El monto del valor total de la contratación;</w:t>
      </w:r>
      <w:r w:rsidR="00EE124D" w:rsidRPr="00954480">
        <w:rPr>
          <w:rFonts w:asciiTheme="minorHAnsi" w:hAnsiTheme="minorHAnsi" w:cstheme="minorHAnsi"/>
          <w:b/>
        </w:rPr>
        <w:t xml:space="preserve"> NO ATENDIDA</w:t>
      </w:r>
    </w:p>
    <w:p w:rsidR="0007035A" w:rsidRPr="00954480" w:rsidRDefault="0007035A" w:rsidP="00B907DD">
      <w:pPr>
        <w:jc w:val="both"/>
        <w:rPr>
          <w:rFonts w:asciiTheme="minorHAnsi" w:hAnsiTheme="minorHAnsi" w:cstheme="minorHAnsi"/>
          <w:szCs w:val="20"/>
        </w:rPr>
      </w:pP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t>XX.- El domicilio, número telefónico y la dirección electrónica de la Unidad de Transparencia, así como del Órgano Garante;</w:t>
      </w:r>
    </w:p>
    <w:p w:rsidR="009F5D9C" w:rsidRPr="00954480" w:rsidRDefault="009F5D9C" w:rsidP="009F5D9C">
      <w:pPr>
        <w:jc w:val="both"/>
        <w:rPr>
          <w:rFonts w:asciiTheme="minorHAnsi" w:hAnsiTheme="minorHAnsi" w:cstheme="minorHAnsi"/>
        </w:rPr>
      </w:pPr>
      <w:r w:rsidRPr="00954480">
        <w:rPr>
          <w:rFonts w:asciiTheme="minorHAnsi" w:hAnsiTheme="minorHAnsi" w:cstheme="minorHAnsi"/>
        </w:rPr>
        <w:t>No se emiten recomendaciones respecto a esta fracción.</w:t>
      </w:r>
    </w:p>
    <w:p w:rsidR="0007035A" w:rsidRPr="00954480" w:rsidRDefault="0007035A" w:rsidP="00B907DD">
      <w:pPr>
        <w:jc w:val="both"/>
        <w:rPr>
          <w:rFonts w:asciiTheme="minorHAnsi" w:hAnsiTheme="minorHAnsi" w:cstheme="minorHAnsi"/>
          <w:szCs w:val="20"/>
        </w:rPr>
      </w:pP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t>XXI.- La relación de solicitudes de acceso a la información pública y las respuestas que se les den;</w:t>
      </w:r>
    </w:p>
    <w:p w:rsidR="009F5D9C" w:rsidRPr="00954480" w:rsidRDefault="009F5D9C" w:rsidP="009F5D9C">
      <w:pPr>
        <w:jc w:val="both"/>
        <w:rPr>
          <w:rFonts w:asciiTheme="minorHAnsi" w:hAnsiTheme="minorHAnsi" w:cstheme="minorHAnsi"/>
        </w:rPr>
      </w:pPr>
      <w:r w:rsidRPr="00954480">
        <w:rPr>
          <w:rFonts w:asciiTheme="minorHAnsi" w:hAnsiTheme="minorHAnsi" w:cstheme="minorHAnsi"/>
        </w:rPr>
        <w:t>No se emiten recomendaciones respecto a esta fracción.</w:t>
      </w:r>
    </w:p>
    <w:p w:rsidR="00EC7BCF" w:rsidRPr="00954480" w:rsidRDefault="00EC7BCF" w:rsidP="00B907DD">
      <w:pPr>
        <w:pStyle w:val="Sinespaciado"/>
        <w:jc w:val="both"/>
      </w:pP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t>XXII La relación de los servidores públicos comisionados fuera de su área de adscripción por cualquier causa, incluso de carácter sindical;</w:t>
      </w:r>
    </w:p>
    <w:p w:rsidR="008B2CD7" w:rsidRPr="00954480" w:rsidRDefault="0033763A" w:rsidP="00B907DD">
      <w:pPr>
        <w:jc w:val="both"/>
        <w:rPr>
          <w:rFonts w:asciiTheme="minorHAnsi" w:hAnsiTheme="minorHAnsi" w:cstheme="minorHAnsi"/>
        </w:rPr>
      </w:pPr>
      <w:r w:rsidRPr="00954480">
        <w:rPr>
          <w:rFonts w:asciiTheme="minorHAnsi" w:hAnsiTheme="minorHAnsi" w:cstheme="minorHAnsi"/>
        </w:rPr>
        <w:t>N</w:t>
      </w:r>
      <w:r w:rsidR="00BF56EF" w:rsidRPr="00954480">
        <w:rPr>
          <w:rFonts w:asciiTheme="minorHAnsi" w:hAnsiTheme="minorHAnsi" w:cstheme="minorHAnsi"/>
        </w:rPr>
        <w:t>o se emiten recomendaciones respecto a esta fracción.</w:t>
      </w:r>
    </w:p>
    <w:p w:rsidR="0007035A" w:rsidRPr="00954480" w:rsidRDefault="0007035A" w:rsidP="00B907DD">
      <w:pPr>
        <w:ind w:left="708"/>
        <w:jc w:val="both"/>
        <w:rPr>
          <w:rFonts w:asciiTheme="minorHAnsi" w:hAnsiTheme="minorHAnsi" w:cstheme="minorHAnsi"/>
        </w:rPr>
      </w:pP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t>XXIII.- Los dictámenes de las auditorías que se practiquen a los sujetos obligados;</w:t>
      </w:r>
    </w:p>
    <w:p w:rsidR="00BF56EF" w:rsidRPr="00954480" w:rsidRDefault="00174227" w:rsidP="00B907DD">
      <w:pPr>
        <w:pStyle w:val="Prrafodelista"/>
        <w:numPr>
          <w:ilvl w:val="0"/>
          <w:numId w:val="22"/>
        </w:numPr>
        <w:jc w:val="both"/>
        <w:rPr>
          <w:rFonts w:asciiTheme="minorHAnsi" w:hAnsiTheme="minorHAnsi" w:cstheme="minorHAnsi"/>
        </w:rPr>
      </w:pPr>
      <w:r w:rsidRPr="00954480">
        <w:rPr>
          <w:rFonts w:asciiTheme="minorHAnsi" w:hAnsiTheme="minorHAnsi" w:cstheme="minorHAnsi"/>
        </w:rPr>
        <w:t>Con respecto al informe de resultados de revisión de la cuenta pública 2011, se recomienda publicar los mismos elementos de información reportados en la auditoría realizada al J</w:t>
      </w:r>
      <w:r w:rsidRPr="00954480">
        <w:t>uzgado Primero Penal Partido Judicial de Mexicali</w:t>
      </w:r>
      <w:r w:rsidRPr="00954480">
        <w:rPr>
          <w:rFonts w:asciiTheme="minorHAnsi" w:hAnsiTheme="minorHAnsi" w:cstheme="minorHAnsi"/>
        </w:rPr>
        <w:t>.</w:t>
      </w:r>
      <w:r w:rsidR="00B41DAA" w:rsidRPr="00954480">
        <w:rPr>
          <w:rFonts w:asciiTheme="minorHAnsi" w:hAnsiTheme="minorHAnsi" w:cstheme="minorHAnsi"/>
        </w:rPr>
        <w:t xml:space="preserve"> </w:t>
      </w:r>
      <w:r w:rsidR="004D1AD6" w:rsidRPr="00954480">
        <w:rPr>
          <w:rFonts w:asciiTheme="minorHAnsi" w:hAnsiTheme="minorHAnsi" w:cstheme="minorHAnsi"/>
          <w:b/>
        </w:rPr>
        <w:t>NO ATENDIDA</w:t>
      </w: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lastRenderedPageBreak/>
        <w:t>XXIV.-Los informes que por disposición legal generen los sujetos obligados; y</w:t>
      </w:r>
    </w:p>
    <w:p w:rsidR="00E5300C" w:rsidRPr="00954480" w:rsidRDefault="00E5300C" w:rsidP="00E5300C">
      <w:pPr>
        <w:jc w:val="both"/>
        <w:rPr>
          <w:rFonts w:asciiTheme="minorHAnsi" w:hAnsiTheme="minorHAnsi" w:cstheme="minorHAnsi"/>
        </w:rPr>
      </w:pPr>
      <w:r w:rsidRPr="00954480">
        <w:rPr>
          <w:rFonts w:asciiTheme="minorHAnsi" w:hAnsiTheme="minorHAnsi" w:cstheme="minorHAnsi"/>
        </w:rPr>
        <w:t>No se emiten recomendaciones respecto a esta fracción.</w:t>
      </w:r>
    </w:p>
    <w:p w:rsidR="0007035A" w:rsidRPr="00954480" w:rsidRDefault="0007035A" w:rsidP="00B907DD">
      <w:pPr>
        <w:jc w:val="both"/>
        <w:rPr>
          <w:rFonts w:asciiTheme="minorHAnsi" w:hAnsiTheme="minorHAnsi" w:cstheme="minorHAnsi"/>
        </w:rPr>
      </w:pPr>
    </w:p>
    <w:p w:rsidR="00861104" w:rsidRPr="00954480" w:rsidRDefault="00861104" w:rsidP="00B907DD">
      <w:pPr>
        <w:jc w:val="both"/>
        <w:rPr>
          <w:rFonts w:asciiTheme="minorHAnsi" w:hAnsiTheme="minorHAnsi" w:cstheme="minorHAnsi"/>
          <w:b/>
        </w:rPr>
      </w:pPr>
      <w:r w:rsidRPr="00954480">
        <w:rPr>
          <w:rFonts w:asciiTheme="minorHAnsi" w:hAnsiTheme="minorHAnsi" w:cstheme="minorHAnsi"/>
          <w:b/>
        </w:rPr>
        <w:t>XXV.- Cualquier otra información que sea de utilidad o se considere relevante, además de aquella que, con base en la información estadística, responda a las preguntas formuladas con más frecuencia por el público.</w:t>
      </w:r>
    </w:p>
    <w:p w:rsidR="007967D0" w:rsidRPr="00954480" w:rsidRDefault="00BF56EF" w:rsidP="00D95DC0">
      <w:pPr>
        <w:autoSpaceDE w:val="0"/>
        <w:autoSpaceDN w:val="0"/>
        <w:adjustRightInd w:val="0"/>
        <w:spacing w:after="0" w:line="240" w:lineRule="auto"/>
        <w:jc w:val="both"/>
        <w:rPr>
          <w:rFonts w:asciiTheme="minorHAnsi" w:hAnsiTheme="minorHAnsi" w:cstheme="minorHAnsi"/>
        </w:rPr>
      </w:pPr>
      <w:r w:rsidRPr="00954480">
        <w:rPr>
          <w:rFonts w:asciiTheme="minorHAnsi" w:hAnsiTheme="minorHAnsi" w:cstheme="minorHAnsi"/>
        </w:rPr>
        <w:t>No se emiten recomendaciones respecto a esta fracción.</w:t>
      </w:r>
    </w:p>
    <w:p w:rsidR="0007035A" w:rsidRPr="00954480" w:rsidRDefault="0007035A" w:rsidP="00B907DD">
      <w:pPr>
        <w:autoSpaceDE w:val="0"/>
        <w:autoSpaceDN w:val="0"/>
        <w:adjustRightInd w:val="0"/>
        <w:spacing w:after="0" w:line="240" w:lineRule="auto"/>
        <w:ind w:left="708"/>
        <w:jc w:val="both"/>
        <w:rPr>
          <w:rFonts w:asciiTheme="minorHAnsi" w:hAnsiTheme="minorHAnsi" w:cstheme="minorHAnsi"/>
        </w:rPr>
      </w:pPr>
    </w:p>
    <w:p w:rsidR="0007035A" w:rsidRPr="00954480" w:rsidRDefault="0007035A" w:rsidP="00B907DD">
      <w:pPr>
        <w:autoSpaceDE w:val="0"/>
        <w:autoSpaceDN w:val="0"/>
        <w:adjustRightInd w:val="0"/>
        <w:spacing w:after="0" w:line="240" w:lineRule="auto"/>
        <w:ind w:left="708"/>
        <w:jc w:val="both"/>
        <w:rPr>
          <w:rFonts w:asciiTheme="minorHAnsi" w:hAnsiTheme="minorHAnsi" w:cstheme="minorHAnsi"/>
          <w:b/>
        </w:rPr>
      </w:pPr>
    </w:p>
    <w:p w:rsidR="00B457CE" w:rsidRPr="00954480" w:rsidRDefault="00B457CE" w:rsidP="00B907DD">
      <w:pPr>
        <w:autoSpaceDE w:val="0"/>
        <w:autoSpaceDN w:val="0"/>
        <w:adjustRightInd w:val="0"/>
        <w:spacing w:after="0" w:line="240" w:lineRule="auto"/>
        <w:jc w:val="both"/>
        <w:rPr>
          <w:rFonts w:asciiTheme="minorHAnsi" w:hAnsiTheme="minorHAnsi" w:cstheme="minorHAnsi"/>
          <w:b/>
        </w:rPr>
      </w:pPr>
    </w:p>
    <w:p w:rsidR="00D87176" w:rsidRPr="00954480" w:rsidRDefault="00D87176" w:rsidP="00B907DD">
      <w:pPr>
        <w:autoSpaceDE w:val="0"/>
        <w:autoSpaceDN w:val="0"/>
        <w:adjustRightInd w:val="0"/>
        <w:spacing w:after="0" w:line="240" w:lineRule="auto"/>
        <w:jc w:val="both"/>
        <w:rPr>
          <w:rFonts w:asciiTheme="minorHAnsi" w:hAnsiTheme="minorHAnsi"/>
          <w:b/>
          <w:lang w:eastAsia="es-MX"/>
        </w:rPr>
      </w:pPr>
      <w:r w:rsidRPr="00954480">
        <w:rPr>
          <w:rFonts w:asciiTheme="minorHAnsi" w:hAnsiTheme="minorHAnsi"/>
          <w:b/>
          <w:lang w:eastAsia="es-MX"/>
        </w:rPr>
        <w:t>Artículo 15.- Además de la información que le resulte aplicable contenida en el artículo 11, el Poder Judicial del Estado deberá dar a conocer:</w:t>
      </w:r>
    </w:p>
    <w:p w:rsidR="00D87176" w:rsidRPr="00954480" w:rsidRDefault="00D87176" w:rsidP="00B907DD">
      <w:pPr>
        <w:autoSpaceDE w:val="0"/>
        <w:autoSpaceDN w:val="0"/>
        <w:adjustRightInd w:val="0"/>
        <w:spacing w:after="0" w:line="240" w:lineRule="auto"/>
        <w:jc w:val="both"/>
        <w:rPr>
          <w:rFonts w:asciiTheme="minorHAnsi" w:hAnsiTheme="minorHAnsi"/>
          <w:lang w:eastAsia="es-MX"/>
        </w:rPr>
      </w:pPr>
    </w:p>
    <w:p w:rsidR="00D87176" w:rsidRPr="00954480" w:rsidRDefault="00D87176" w:rsidP="00B907DD">
      <w:pPr>
        <w:autoSpaceDE w:val="0"/>
        <w:autoSpaceDN w:val="0"/>
        <w:adjustRightInd w:val="0"/>
        <w:spacing w:after="0" w:line="240" w:lineRule="auto"/>
        <w:jc w:val="both"/>
        <w:rPr>
          <w:rFonts w:asciiTheme="minorHAnsi" w:hAnsiTheme="minorHAnsi"/>
          <w:b/>
          <w:lang w:eastAsia="es-MX"/>
        </w:rPr>
      </w:pPr>
      <w:r w:rsidRPr="00954480">
        <w:rPr>
          <w:rFonts w:asciiTheme="minorHAnsi" w:hAnsiTheme="minorHAnsi"/>
          <w:b/>
          <w:lang w:eastAsia="es-MX"/>
        </w:rPr>
        <w:t>I.- Las listas de acuerdos;</w:t>
      </w:r>
    </w:p>
    <w:p w:rsidR="00D87176" w:rsidRPr="00954480" w:rsidRDefault="00D87176" w:rsidP="00B907DD">
      <w:pPr>
        <w:autoSpaceDE w:val="0"/>
        <w:autoSpaceDN w:val="0"/>
        <w:adjustRightInd w:val="0"/>
        <w:spacing w:after="0" w:line="240" w:lineRule="auto"/>
        <w:jc w:val="both"/>
        <w:rPr>
          <w:rFonts w:asciiTheme="minorHAnsi" w:hAnsiTheme="minorHAnsi"/>
          <w:lang w:eastAsia="es-MX"/>
        </w:rPr>
      </w:pPr>
    </w:p>
    <w:p w:rsidR="00E5300C" w:rsidRPr="00954480" w:rsidRDefault="00E5300C" w:rsidP="00E5300C">
      <w:pPr>
        <w:autoSpaceDE w:val="0"/>
        <w:autoSpaceDN w:val="0"/>
        <w:adjustRightInd w:val="0"/>
        <w:spacing w:after="0" w:line="240" w:lineRule="auto"/>
        <w:jc w:val="both"/>
        <w:rPr>
          <w:rFonts w:asciiTheme="minorHAnsi" w:hAnsiTheme="minorHAnsi" w:cstheme="minorHAnsi"/>
        </w:rPr>
      </w:pPr>
      <w:r w:rsidRPr="00954480">
        <w:rPr>
          <w:rFonts w:asciiTheme="minorHAnsi" w:hAnsiTheme="minorHAnsi" w:cstheme="minorHAnsi"/>
        </w:rPr>
        <w:t>No se emiten recomendaciones respecto a esta fracción.</w:t>
      </w:r>
    </w:p>
    <w:p w:rsidR="0007035A" w:rsidRPr="00954480" w:rsidRDefault="0007035A" w:rsidP="00B907DD">
      <w:pPr>
        <w:autoSpaceDE w:val="0"/>
        <w:autoSpaceDN w:val="0"/>
        <w:adjustRightInd w:val="0"/>
        <w:spacing w:after="0" w:line="240" w:lineRule="auto"/>
        <w:jc w:val="both"/>
        <w:rPr>
          <w:rFonts w:asciiTheme="minorHAnsi" w:hAnsiTheme="minorHAnsi"/>
          <w:lang w:eastAsia="es-MX"/>
        </w:rPr>
      </w:pPr>
    </w:p>
    <w:p w:rsidR="00D87176" w:rsidRPr="00954480" w:rsidRDefault="00D87176" w:rsidP="00B907DD">
      <w:pPr>
        <w:autoSpaceDE w:val="0"/>
        <w:autoSpaceDN w:val="0"/>
        <w:adjustRightInd w:val="0"/>
        <w:spacing w:after="0" w:line="240" w:lineRule="auto"/>
        <w:jc w:val="both"/>
        <w:rPr>
          <w:rFonts w:asciiTheme="minorHAnsi" w:hAnsiTheme="minorHAnsi"/>
          <w:lang w:eastAsia="es-MX"/>
        </w:rPr>
      </w:pPr>
    </w:p>
    <w:p w:rsidR="00D87176" w:rsidRPr="00954480" w:rsidRDefault="00D87176" w:rsidP="00B907DD">
      <w:pPr>
        <w:autoSpaceDE w:val="0"/>
        <w:autoSpaceDN w:val="0"/>
        <w:adjustRightInd w:val="0"/>
        <w:spacing w:after="0" w:line="240" w:lineRule="auto"/>
        <w:jc w:val="both"/>
        <w:rPr>
          <w:rFonts w:asciiTheme="minorHAnsi" w:hAnsiTheme="minorHAnsi"/>
          <w:b/>
          <w:lang w:eastAsia="es-MX"/>
        </w:rPr>
      </w:pPr>
      <w:r w:rsidRPr="00954480">
        <w:rPr>
          <w:rFonts w:asciiTheme="minorHAnsi" w:hAnsiTheme="minorHAnsi"/>
          <w:b/>
          <w:lang w:eastAsia="es-MX"/>
        </w:rPr>
        <w:t>II.- Las versiones públicas de las sentencias relevantes, así como ejecutorias sobresalientes pronunciadas por el Pleno y las Salas, con los respectivos votos particulares si los hubiere;</w:t>
      </w:r>
    </w:p>
    <w:p w:rsidR="00EA1466" w:rsidRPr="00954480" w:rsidRDefault="00EA1466" w:rsidP="00B907DD">
      <w:pPr>
        <w:autoSpaceDE w:val="0"/>
        <w:autoSpaceDN w:val="0"/>
        <w:adjustRightInd w:val="0"/>
        <w:spacing w:after="0" w:line="240" w:lineRule="auto"/>
        <w:jc w:val="both"/>
        <w:rPr>
          <w:rFonts w:asciiTheme="minorHAnsi" w:hAnsiTheme="minorHAnsi"/>
          <w:b/>
          <w:lang w:eastAsia="es-MX"/>
        </w:rPr>
      </w:pPr>
    </w:p>
    <w:p w:rsidR="008B2CD7" w:rsidRPr="00954480" w:rsidRDefault="00C348DB" w:rsidP="00B907DD">
      <w:pPr>
        <w:pStyle w:val="Prrafodelista"/>
        <w:numPr>
          <w:ilvl w:val="0"/>
          <w:numId w:val="15"/>
        </w:numPr>
        <w:jc w:val="both"/>
        <w:rPr>
          <w:rFonts w:asciiTheme="minorHAnsi" w:hAnsiTheme="minorHAnsi"/>
          <w:lang w:eastAsia="es-MX"/>
        </w:rPr>
      </w:pPr>
      <w:r w:rsidRPr="00954480">
        <w:rPr>
          <w:rFonts w:asciiTheme="minorHAnsi" w:hAnsiTheme="minorHAnsi"/>
          <w:lang w:eastAsia="es-MX"/>
        </w:rPr>
        <w:t>S</w:t>
      </w:r>
      <w:r w:rsidR="0079396B" w:rsidRPr="00954480">
        <w:rPr>
          <w:rFonts w:asciiTheme="minorHAnsi" w:hAnsiTheme="minorHAnsi"/>
          <w:lang w:eastAsia="es-MX"/>
        </w:rPr>
        <w:t xml:space="preserve">e </w:t>
      </w:r>
      <w:r w:rsidRPr="00954480">
        <w:rPr>
          <w:rFonts w:asciiTheme="minorHAnsi" w:hAnsiTheme="minorHAnsi"/>
          <w:lang w:eastAsia="es-MX"/>
        </w:rPr>
        <w:t>recomienda</w:t>
      </w:r>
      <w:r w:rsidR="0079396B" w:rsidRPr="00954480">
        <w:rPr>
          <w:rFonts w:asciiTheme="minorHAnsi" w:hAnsiTheme="minorHAnsi"/>
          <w:lang w:eastAsia="es-MX"/>
        </w:rPr>
        <w:t xml:space="preserve"> publicar las versiones públicas de las sentencias relevantes, así como ejecutorias sobresalientes pronunciadas por el Pleno y las Salas, con los respectivos vo</w:t>
      </w:r>
      <w:r w:rsidR="004B4BB5" w:rsidRPr="00954480">
        <w:rPr>
          <w:rFonts w:asciiTheme="minorHAnsi" w:hAnsiTheme="minorHAnsi"/>
          <w:lang w:eastAsia="es-MX"/>
        </w:rPr>
        <w:t>tos particulares si los hubiere</w:t>
      </w:r>
      <w:r w:rsidR="00590DA7" w:rsidRPr="00954480">
        <w:rPr>
          <w:rFonts w:asciiTheme="minorHAnsi" w:hAnsiTheme="minorHAnsi"/>
          <w:lang w:eastAsia="es-MX"/>
        </w:rPr>
        <w:t xml:space="preserve">, toda vez que en esta fracción se </w:t>
      </w:r>
      <w:r w:rsidR="002A270D" w:rsidRPr="00954480">
        <w:rPr>
          <w:rFonts w:asciiTheme="minorHAnsi" w:hAnsiTheme="minorHAnsi"/>
          <w:lang w:eastAsia="es-MX"/>
        </w:rPr>
        <w:t>omite la</w:t>
      </w:r>
      <w:r w:rsidR="00590DA7" w:rsidRPr="00954480">
        <w:rPr>
          <w:rFonts w:asciiTheme="minorHAnsi" w:hAnsiTheme="minorHAnsi"/>
          <w:lang w:eastAsia="es-MX"/>
        </w:rPr>
        <w:t xml:space="preserve"> publicación de información.</w:t>
      </w:r>
      <w:r w:rsidR="00D54D03" w:rsidRPr="00954480">
        <w:rPr>
          <w:rFonts w:asciiTheme="minorHAnsi" w:hAnsiTheme="minorHAnsi"/>
          <w:lang w:eastAsia="es-MX"/>
        </w:rPr>
        <w:t xml:space="preserve">   </w:t>
      </w:r>
      <w:r w:rsidR="004D1AD6" w:rsidRPr="00954480">
        <w:rPr>
          <w:rFonts w:asciiTheme="minorHAnsi" w:hAnsiTheme="minorHAnsi" w:cstheme="minorHAnsi"/>
          <w:b/>
        </w:rPr>
        <w:t>NO ATENDIDA</w:t>
      </w:r>
    </w:p>
    <w:p w:rsidR="0007035A" w:rsidRPr="00954480" w:rsidRDefault="0007035A" w:rsidP="00B907DD">
      <w:pPr>
        <w:jc w:val="both"/>
        <w:rPr>
          <w:rFonts w:asciiTheme="minorHAnsi" w:hAnsiTheme="minorHAnsi"/>
          <w:lang w:eastAsia="es-MX"/>
        </w:rPr>
      </w:pPr>
    </w:p>
    <w:p w:rsidR="00D87176" w:rsidRPr="00954480" w:rsidRDefault="00D87176" w:rsidP="00B907DD">
      <w:pPr>
        <w:autoSpaceDE w:val="0"/>
        <w:autoSpaceDN w:val="0"/>
        <w:adjustRightInd w:val="0"/>
        <w:spacing w:after="0" w:line="240" w:lineRule="auto"/>
        <w:jc w:val="both"/>
        <w:rPr>
          <w:rFonts w:asciiTheme="minorHAnsi" w:hAnsiTheme="minorHAnsi"/>
          <w:b/>
          <w:lang w:eastAsia="es-MX"/>
        </w:rPr>
      </w:pPr>
      <w:r w:rsidRPr="00954480">
        <w:rPr>
          <w:rFonts w:asciiTheme="minorHAnsi" w:hAnsiTheme="minorHAnsi"/>
          <w:b/>
          <w:lang w:eastAsia="es-MX"/>
        </w:rPr>
        <w:t>III.- Los acuerdos que expidan el Tribunal Superior de Justicia, el Tribunal de Justicia Electoral y del Consejo de la Judicatura;</w:t>
      </w:r>
    </w:p>
    <w:p w:rsidR="00D87176" w:rsidRPr="00954480" w:rsidRDefault="00D87176" w:rsidP="00B907DD">
      <w:pPr>
        <w:autoSpaceDE w:val="0"/>
        <w:autoSpaceDN w:val="0"/>
        <w:adjustRightInd w:val="0"/>
        <w:spacing w:after="0" w:line="240" w:lineRule="auto"/>
        <w:jc w:val="both"/>
        <w:rPr>
          <w:rFonts w:asciiTheme="minorHAnsi" w:hAnsiTheme="minorHAnsi"/>
          <w:lang w:eastAsia="es-MX"/>
        </w:rPr>
      </w:pPr>
    </w:p>
    <w:p w:rsidR="00E5300C" w:rsidRPr="00954480" w:rsidRDefault="00E5300C" w:rsidP="00E5300C">
      <w:pPr>
        <w:autoSpaceDE w:val="0"/>
        <w:autoSpaceDN w:val="0"/>
        <w:adjustRightInd w:val="0"/>
        <w:spacing w:after="0" w:line="240" w:lineRule="auto"/>
        <w:jc w:val="both"/>
        <w:rPr>
          <w:rFonts w:asciiTheme="minorHAnsi" w:hAnsiTheme="minorHAnsi" w:cstheme="minorHAnsi"/>
        </w:rPr>
      </w:pPr>
      <w:r w:rsidRPr="00954480">
        <w:rPr>
          <w:rFonts w:asciiTheme="minorHAnsi" w:hAnsiTheme="minorHAnsi" w:cstheme="minorHAnsi"/>
        </w:rPr>
        <w:t>No se emiten recomendaciones respecto a esta fracción.</w:t>
      </w:r>
    </w:p>
    <w:p w:rsidR="00D87176" w:rsidRPr="00954480" w:rsidRDefault="00D87176" w:rsidP="00B907DD">
      <w:pPr>
        <w:autoSpaceDE w:val="0"/>
        <w:autoSpaceDN w:val="0"/>
        <w:adjustRightInd w:val="0"/>
        <w:spacing w:after="0" w:line="240" w:lineRule="auto"/>
        <w:jc w:val="both"/>
        <w:rPr>
          <w:rFonts w:asciiTheme="minorHAnsi" w:hAnsiTheme="minorHAnsi"/>
          <w:lang w:eastAsia="es-MX"/>
        </w:rPr>
      </w:pPr>
    </w:p>
    <w:p w:rsidR="004D1AD6" w:rsidRPr="00954480" w:rsidRDefault="004D1AD6" w:rsidP="00B907DD">
      <w:pPr>
        <w:autoSpaceDE w:val="0"/>
        <w:autoSpaceDN w:val="0"/>
        <w:adjustRightInd w:val="0"/>
        <w:spacing w:after="0" w:line="240" w:lineRule="auto"/>
        <w:jc w:val="both"/>
        <w:rPr>
          <w:rFonts w:asciiTheme="minorHAnsi" w:hAnsiTheme="minorHAnsi"/>
          <w:b/>
          <w:lang w:eastAsia="es-MX"/>
        </w:rPr>
      </w:pPr>
    </w:p>
    <w:p w:rsidR="009E1D7F" w:rsidRPr="00954480" w:rsidRDefault="00D87176" w:rsidP="00B907DD">
      <w:pPr>
        <w:autoSpaceDE w:val="0"/>
        <w:autoSpaceDN w:val="0"/>
        <w:adjustRightInd w:val="0"/>
        <w:spacing w:after="0" w:line="240" w:lineRule="auto"/>
        <w:jc w:val="both"/>
        <w:rPr>
          <w:rFonts w:asciiTheme="minorHAnsi" w:hAnsiTheme="minorHAnsi"/>
          <w:b/>
          <w:lang w:eastAsia="es-MX"/>
        </w:rPr>
      </w:pPr>
      <w:r w:rsidRPr="00954480">
        <w:rPr>
          <w:rFonts w:asciiTheme="minorHAnsi" w:hAnsiTheme="minorHAnsi"/>
          <w:b/>
          <w:lang w:eastAsia="es-MX"/>
        </w:rPr>
        <w:t>IV.- Opiniones, informes y dictámenes efectuados con motivo de la evaluación de los servidores públicos que, por disposición de Ley, sean sujetos a procesos de ratificación, una vez que concluya dicho proceso;</w:t>
      </w:r>
    </w:p>
    <w:p w:rsidR="00D87176" w:rsidRPr="00954480" w:rsidRDefault="00D87176" w:rsidP="00B907DD">
      <w:pPr>
        <w:autoSpaceDE w:val="0"/>
        <w:autoSpaceDN w:val="0"/>
        <w:adjustRightInd w:val="0"/>
        <w:spacing w:after="0" w:line="240" w:lineRule="auto"/>
        <w:jc w:val="both"/>
        <w:rPr>
          <w:rFonts w:asciiTheme="minorHAnsi" w:hAnsiTheme="minorHAnsi"/>
          <w:lang w:eastAsia="es-MX"/>
        </w:rPr>
      </w:pPr>
    </w:p>
    <w:p w:rsidR="0007035A" w:rsidRPr="00954480" w:rsidRDefault="0007035A" w:rsidP="00B907DD">
      <w:pPr>
        <w:autoSpaceDE w:val="0"/>
        <w:autoSpaceDN w:val="0"/>
        <w:adjustRightInd w:val="0"/>
        <w:spacing w:after="0" w:line="240" w:lineRule="auto"/>
        <w:jc w:val="both"/>
        <w:rPr>
          <w:rFonts w:asciiTheme="minorHAnsi" w:hAnsiTheme="minorHAnsi"/>
          <w:lang w:eastAsia="es-MX"/>
        </w:rPr>
      </w:pPr>
      <w:r w:rsidRPr="00954480">
        <w:rPr>
          <w:rFonts w:asciiTheme="minorHAnsi" w:hAnsiTheme="minorHAnsi" w:cstheme="minorHAnsi"/>
        </w:rPr>
        <w:t>No se emiten recomendaciones respecto a esta fracción.</w:t>
      </w:r>
    </w:p>
    <w:p w:rsidR="00CE23F1" w:rsidRDefault="00CE23F1" w:rsidP="00B907DD">
      <w:pPr>
        <w:autoSpaceDE w:val="0"/>
        <w:autoSpaceDN w:val="0"/>
        <w:adjustRightInd w:val="0"/>
        <w:spacing w:after="0" w:line="240" w:lineRule="auto"/>
        <w:jc w:val="both"/>
        <w:rPr>
          <w:rFonts w:asciiTheme="minorHAnsi" w:hAnsiTheme="minorHAnsi"/>
          <w:b/>
          <w:lang w:eastAsia="es-MX"/>
        </w:rPr>
      </w:pPr>
    </w:p>
    <w:p w:rsidR="00D87176" w:rsidRPr="00954480" w:rsidRDefault="00D87176" w:rsidP="00B907DD">
      <w:pPr>
        <w:autoSpaceDE w:val="0"/>
        <w:autoSpaceDN w:val="0"/>
        <w:adjustRightInd w:val="0"/>
        <w:spacing w:after="0" w:line="240" w:lineRule="auto"/>
        <w:jc w:val="both"/>
        <w:rPr>
          <w:rFonts w:asciiTheme="minorHAnsi" w:hAnsiTheme="minorHAnsi"/>
          <w:b/>
          <w:lang w:eastAsia="es-MX"/>
        </w:rPr>
      </w:pPr>
      <w:r w:rsidRPr="00954480">
        <w:rPr>
          <w:rFonts w:asciiTheme="minorHAnsi" w:hAnsiTheme="minorHAnsi"/>
          <w:b/>
          <w:lang w:eastAsia="es-MX"/>
        </w:rPr>
        <w:lastRenderedPageBreak/>
        <w:t>V.- Los ingresos y aplicación del Fondo Auxiliar para la Administración de la Justicia;</w:t>
      </w:r>
    </w:p>
    <w:p w:rsidR="00D87176" w:rsidRPr="00954480" w:rsidRDefault="00D87176" w:rsidP="00B907DD">
      <w:pPr>
        <w:autoSpaceDE w:val="0"/>
        <w:autoSpaceDN w:val="0"/>
        <w:adjustRightInd w:val="0"/>
        <w:spacing w:after="0" w:line="240" w:lineRule="auto"/>
        <w:jc w:val="both"/>
        <w:rPr>
          <w:rFonts w:asciiTheme="minorHAnsi" w:hAnsiTheme="minorHAnsi"/>
          <w:lang w:eastAsia="es-MX"/>
        </w:rPr>
      </w:pPr>
    </w:p>
    <w:p w:rsidR="004F4467" w:rsidRPr="00954480" w:rsidRDefault="004F4467" w:rsidP="004F4467">
      <w:pPr>
        <w:autoSpaceDE w:val="0"/>
        <w:autoSpaceDN w:val="0"/>
        <w:adjustRightInd w:val="0"/>
        <w:spacing w:after="0" w:line="240" w:lineRule="auto"/>
        <w:jc w:val="both"/>
        <w:rPr>
          <w:rFonts w:asciiTheme="minorHAnsi" w:hAnsiTheme="minorHAnsi"/>
          <w:lang w:eastAsia="es-MX"/>
        </w:rPr>
      </w:pPr>
      <w:r w:rsidRPr="00954480">
        <w:rPr>
          <w:rFonts w:asciiTheme="minorHAnsi" w:hAnsiTheme="minorHAnsi" w:cstheme="minorHAnsi"/>
        </w:rPr>
        <w:t>No se emiten recomendaciones respecto a esta fracción.</w:t>
      </w:r>
    </w:p>
    <w:p w:rsidR="004443E3" w:rsidRPr="00954480" w:rsidRDefault="004443E3" w:rsidP="00B907DD">
      <w:pPr>
        <w:autoSpaceDE w:val="0"/>
        <w:autoSpaceDN w:val="0"/>
        <w:adjustRightInd w:val="0"/>
        <w:spacing w:after="0" w:line="240" w:lineRule="auto"/>
        <w:jc w:val="both"/>
        <w:rPr>
          <w:rFonts w:asciiTheme="minorHAnsi" w:hAnsiTheme="minorHAnsi"/>
          <w:lang w:eastAsia="es-MX"/>
        </w:rPr>
      </w:pPr>
    </w:p>
    <w:p w:rsidR="00B86CBE" w:rsidRPr="00954480" w:rsidRDefault="00B86CBE" w:rsidP="00B907DD">
      <w:pPr>
        <w:autoSpaceDE w:val="0"/>
        <w:autoSpaceDN w:val="0"/>
        <w:adjustRightInd w:val="0"/>
        <w:spacing w:after="0" w:line="240" w:lineRule="auto"/>
        <w:jc w:val="both"/>
        <w:rPr>
          <w:rFonts w:asciiTheme="minorHAnsi" w:hAnsiTheme="minorHAnsi"/>
          <w:lang w:eastAsia="es-MX"/>
        </w:rPr>
      </w:pPr>
    </w:p>
    <w:p w:rsidR="00D87176" w:rsidRPr="00954480" w:rsidRDefault="00D87176" w:rsidP="00B907DD">
      <w:pPr>
        <w:autoSpaceDE w:val="0"/>
        <w:autoSpaceDN w:val="0"/>
        <w:adjustRightInd w:val="0"/>
        <w:spacing w:after="0" w:line="240" w:lineRule="auto"/>
        <w:jc w:val="both"/>
        <w:rPr>
          <w:rFonts w:asciiTheme="minorHAnsi" w:hAnsiTheme="minorHAnsi"/>
          <w:b/>
          <w:lang w:eastAsia="es-MX"/>
        </w:rPr>
      </w:pPr>
      <w:r w:rsidRPr="00954480">
        <w:rPr>
          <w:rFonts w:asciiTheme="minorHAnsi" w:hAnsiTheme="minorHAnsi"/>
          <w:b/>
          <w:lang w:eastAsia="es-MX"/>
        </w:rPr>
        <w:t>VI.- Los datos estadísticos relativos al desempeño de los órganos jurisdiccionales y el Consejo de la Judicatura. Los principales indicadores sobre la actividad jurisdiccional deberán incluir, al menos, asuntos radicados, concluidos y en trámite, de primera y segunda instancia, indicando el sentido de la resolución;</w:t>
      </w:r>
    </w:p>
    <w:p w:rsidR="0007035A" w:rsidRPr="00954480" w:rsidRDefault="0007035A" w:rsidP="00B907DD">
      <w:pPr>
        <w:autoSpaceDE w:val="0"/>
        <w:autoSpaceDN w:val="0"/>
        <w:adjustRightInd w:val="0"/>
        <w:spacing w:after="0" w:line="240" w:lineRule="auto"/>
        <w:jc w:val="both"/>
        <w:rPr>
          <w:rFonts w:asciiTheme="minorHAnsi" w:hAnsiTheme="minorHAnsi"/>
          <w:lang w:eastAsia="es-MX"/>
        </w:rPr>
      </w:pPr>
    </w:p>
    <w:p w:rsidR="00BF56EF" w:rsidRPr="00954480" w:rsidRDefault="00BF56EF" w:rsidP="00B907DD">
      <w:pPr>
        <w:autoSpaceDE w:val="0"/>
        <w:autoSpaceDN w:val="0"/>
        <w:adjustRightInd w:val="0"/>
        <w:spacing w:after="0" w:line="240" w:lineRule="auto"/>
        <w:jc w:val="both"/>
        <w:rPr>
          <w:rFonts w:asciiTheme="minorHAnsi" w:hAnsiTheme="minorHAnsi"/>
          <w:lang w:eastAsia="es-MX"/>
        </w:rPr>
      </w:pPr>
      <w:r w:rsidRPr="00954480">
        <w:rPr>
          <w:rFonts w:asciiTheme="minorHAnsi" w:hAnsiTheme="minorHAnsi" w:cstheme="minorHAnsi"/>
        </w:rPr>
        <w:t>No se emiten recomendaciones respecto a esta fracción.</w:t>
      </w:r>
    </w:p>
    <w:p w:rsidR="003675C4" w:rsidRPr="00954480" w:rsidRDefault="003675C4" w:rsidP="00B907DD">
      <w:pPr>
        <w:pStyle w:val="Prrafodelista"/>
        <w:autoSpaceDE w:val="0"/>
        <w:autoSpaceDN w:val="0"/>
        <w:adjustRightInd w:val="0"/>
        <w:spacing w:after="0" w:line="240" w:lineRule="auto"/>
        <w:ind w:left="1068"/>
        <w:jc w:val="both"/>
        <w:rPr>
          <w:rFonts w:asciiTheme="minorHAnsi" w:hAnsiTheme="minorHAnsi"/>
          <w:lang w:eastAsia="es-MX"/>
        </w:rPr>
      </w:pPr>
    </w:p>
    <w:p w:rsidR="0007035A" w:rsidRPr="00954480" w:rsidRDefault="0007035A" w:rsidP="00B907DD">
      <w:pPr>
        <w:pStyle w:val="Prrafodelista"/>
        <w:autoSpaceDE w:val="0"/>
        <w:autoSpaceDN w:val="0"/>
        <w:adjustRightInd w:val="0"/>
        <w:spacing w:after="0" w:line="240" w:lineRule="auto"/>
        <w:ind w:left="1068"/>
        <w:jc w:val="both"/>
        <w:rPr>
          <w:rFonts w:asciiTheme="minorHAnsi" w:hAnsiTheme="minorHAnsi"/>
          <w:lang w:eastAsia="es-MX"/>
        </w:rPr>
      </w:pPr>
    </w:p>
    <w:p w:rsidR="00D87176" w:rsidRPr="00954480" w:rsidRDefault="00D87176" w:rsidP="00B907DD">
      <w:pPr>
        <w:autoSpaceDE w:val="0"/>
        <w:autoSpaceDN w:val="0"/>
        <w:adjustRightInd w:val="0"/>
        <w:spacing w:after="0" w:line="240" w:lineRule="auto"/>
        <w:jc w:val="both"/>
        <w:rPr>
          <w:rFonts w:asciiTheme="minorHAnsi" w:hAnsiTheme="minorHAnsi"/>
          <w:b/>
          <w:lang w:eastAsia="es-MX"/>
        </w:rPr>
      </w:pPr>
      <w:r w:rsidRPr="00954480">
        <w:rPr>
          <w:rFonts w:asciiTheme="minorHAnsi" w:hAnsiTheme="minorHAnsi"/>
          <w:b/>
          <w:lang w:eastAsia="es-MX"/>
        </w:rPr>
        <w:t>VII.- Las convocatorias a concursos para ocupar cargos jurisdiccionales y administrativos, así como los resultados de los mismos; y</w:t>
      </w:r>
    </w:p>
    <w:p w:rsidR="0079582E" w:rsidRPr="00954480" w:rsidRDefault="0079582E" w:rsidP="00B907DD">
      <w:pPr>
        <w:autoSpaceDE w:val="0"/>
        <w:autoSpaceDN w:val="0"/>
        <w:adjustRightInd w:val="0"/>
        <w:spacing w:after="0" w:line="240" w:lineRule="auto"/>
        <w:jc w:val="both"/>
        <w:rPr>
          <w:rFonts w:asciiTheme="minorHAnsi" w:hAnsiTheme="minorHAnsi"/>
          <w:b/>
          <w:lang w:eastAsia="es-MX"/>
        </w:rPr>
      </w:pPr>
    </w:p>
    <w:p w:rsidR="00AF51F3" w:rsidRPr="00954480" w:rsidRDefault="00AF51F3" w:rsidP="00AF51F3">
      <w:pPr>
        <w:autoSpaceDE w:val="0"/>
        <w:autoSpaceDN w:val="0"/>
        <w:adjustRightInd w:val="0"/>
        <w:spacing w:after="0" w:line="240" w:lineRule="auto"/>
        <w:jc w:val="both"/>
        <w:rPr>
          <w:rFonts w:asciiTheme="minorHAnsi" w:hAnsiTheme="minorHAnsi"/>
          <w:lang w:eastAsia="es-MX"/>
        </w:rPr>
      </w:pPr>
      <w:r w:rsidRPr="00954480">
        <w:rPr>
          <w:rFonts w:asciiTheme="minorHAnsi" w:hAnsiTheme="minorHAnsi" w:cstheme="minorHAnsi"/>
        </w:rPr>
        <w:t>No se emiten recomendaciones respecto a esta fracción.</w:t>
      </w:r>
    </w:p>
    <w:p w:rsidR="00D87176" w:rsidRPr="00954480" w:rsidRDefault="00D87176" w:rsidP="00B907DD">
      <w:pPr>
        <w:autoSpaceDE w:val="0"/>
        <w:autoSpaceDN w:val="0"/>
        <w:adjustRightInd w:val="0"/>
        <w:spacing w:after="0" w:line="240" w:lineRule="auto"/>
        <w:jc w:val="both"/>
        <w:rPr>
          <w:rFonts w:asciiTheme="minorHAnsi" w:hAnsiTheme="minorHAnsi"/>
          <w:lang w:eastAsia="es-MX"/>
        </w:rPr>
      </w:pPr>
    </w:p>
    <w:p w:rsidR="0007035A" w:rsidRPr="00954480" w:rsidRDefault="0007035A" w:rsidP="00B907DD">
      <w:pPr>
        <w:autoSpaceDE w:val="0"/>
        <w:autoSpaceDN w:val="0"/>
        <w:adjustRightInd w:val="0"/>
        <w:spacing w:after="0" w:line="240" w:lineRule="auto"/>
        <w:jc w:val="both"/>
        <w:rPr>
          <w:rFonts w:asciiTheme="minorHAnsi" w:hAnsiTheme="minorHAnsi"/>
          <w:lang w:eastAsia="es-MX"/>
        </w:rPr>
      </w:pPr>
    </w:p>
    <w:p w:rsidR="00D87176" w:rsidRPr="00954480" w:rsidRDefault="00D87176" w:rsidP="00B907DD">
      <w:pPr>
        <w:autoSpaceDE w:val="0"/>
        <w:autoSpaceDN w:val="0"/>
        <w:adjustRightInd w:val="0"/>
        <w:spacing w:after="0" w:line="240" w:lineRule="auto"/>
        <w:jc w:val="both"/>
        <w:rPr>
          <w:rFonts w:asciiTheme="minorHAnsi" w:hAnsiTheme="minorHAnsi"/>
          <w:b/>
          <w:lang w:eastAsia="es-MX"/>
        </w:rPr>
      </w:pPr>
      <w:r w:rsidRPr="00954480">
        <w:rPr>
          <w:rFonts w:asciiTheme="minorHAnsi" w:hAnsiTheme="minorHAnsi"/>
          <w:b/>
          <w:lang w:eastAsia="es-MX"/>
        </w:rPr>
        <w:t>VIII.- Los perfiles y formas de evaluación del personal jurisdiccional y administrativo que se indiquen en la Ley Orgánica.</w:t>
      </w:r>
    </w:p>
    <w:p w:rsidR="00D87176" w:rsidRPr="00954480" w:rsidRDefault="00D87176" w:rsidP="00B907DD">
      <w:pPr>
        <w:autoSpaceDE w:val="0"/>
        <w:autoSpaceDN w:val="0"/>
        <w:adjustRightInd w:val="0"/>
        <w:spacing w:after="0" w:line="240" w:lineRule="auto"/>
        <w:jc w:val="both"/>
        <w:rPr>
          <w:rFonts w:asciiTheme="minorHAnsi" w:hAnsiTheme="minorHAnsi"/>
          <w:lang w:eastAsia="es-MX"/>
        </w:rPr>
      </w:pPr>
    </w:p>
    <w:p w:rsidR="00AF51F3" w:rsidRPr="00A73DDC" w:rsidRDefault="00AF51F3" w:rsidP="00AF51F3">
      <w:pPr>
        <w:autoSpaceDE w:val="0"/>
        <w:autoSpaceDN w:val="0"/>
        <w:adjustRightInd w:val="0"/>
        <w:spacing w:after="0" w:line="240" w:lineRule="auto"/>
        <w:jc w:val="both"/>
        <w:rPr>
          <w:rFonts w:asciiTheme="minorHAnsi" w:hAnsiTheme="minorHAnsi"/>
          <w:lang w:eastAsia="es-MX"/>
        </w:rPr>
      </w:pPr>
      <w:r w:rsidRPr="00954480">
        <w:rPr>
          <w:rFonts w:asciiTheme="minorHAnsi" w:hAnsiTheme="minorHAnsi" w:cstheme="minorHAnsi"/>
        </w:rPr>
        <w:t>No se emiten recomendaciones respecto a esta fracción.</w:t>
      </w:r>
    </w:p>
    <w:p w:rsidR="00B0733A" w:rsidRDefault="00B0733A" w:rsidP="00B0733A">
      <w:pPr>
        <w:autoSpaceDE w:val="0"/>
        <w:autoSpaceDN w:val="0"/>
        <w:adjustRightInd w:val="0"/>
        <w:spacing w:after="0" w:line="240" w:lineRule="auto"/>
        <w:jc w:val="both"/>
        <w:rPr>
          <w:rFonts w:asciiTheme="minorHAnsi" w:hAnsiTheme="minorHAnsi"/>
          <w:lang w:eastAsia="es-MX"/>
        </w:rPr>
      </w:pPr>
    </w:p>
    <w:p w:rsidR="008D3223" w:rsidRDefault="008D3223" w:rsidP="00B0733A">
      <w:pPr>
        <w:autoSpaceDE w:val="0"/>
        <w:autoSpaceDN w:val="0"/>
        <w:adjustRightInd w:val="0"/>
        <w:spacing w:after="0" w:line="240" w:lineRule="auto"/>
        <w:jc w:val="both"/>
        <w:rPr>
          <w:rFonts w:asciiTheme="minorHAnsi" w:hAnsiTheme="minorHAnsi"/>
          <w:lang w:eastAsia="es-MX"/>
        </w:rPr>
      </w:pPr>
    </w:p>
    <w:p w:rsidR="008D3223" w:rsidRPr="00A73DDC" w:rsidRDefault="008D3223" w:rsidP="00B0733A">
      <w:pPr>
        <w:autoSpaceDE w:val="0"/>
        <w:autoSpaceDN w:val="0"/>
        <w:adjustRightInd w:val="0"/>
        <w:spacing w:after="0" w:line="240" w:lineRule="auto"/>
        <w:jc w:val="both"/>
        <w:rPr>
          <w:rFonts w:asciiTheme="minorHAnsi" w:hAnsiTheme="minorHAnsi"/>
          <w:lang w:eastAsia="es-MX"/>
        </w:rPr>
      </w:pPr>
    </w:p>
    <w:p w:rsidR="00B0733A" w:rsidRPr="00A73DDC" w:rsidRDefault="00B0733A" w:rsidP="00B0733A">
      <w:pPr>
        <w:autoSpaceDE w:val="0"/>
        <w:autoSpaceDN w:val="0"/>
        <w:adjustRightInd w:val="0"/>
        <w:spacing w:after="0" w:line="240" w:lineRule="auto"/>
        <w:jc w:val="both"/>
        <w:rPr>
          <w:rFonts w:asciiTheme="minorHAnsi" w:hAnsiTheme="minorHAnsi"/>
          <w:lang w:eastAsia="es-MX"/>
        </w:rPr>
      </w:pPr>
    </w:p>
    <w:tbl>
      <w:tblPr>
        <w:tblStyle w:val="Listavistosa-nfasis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008"/>
      </w:tblGrid>
      <w:tr w:rsidR="008D3223" w:rsidTr="00F357D7">
        <w:trPr>
          <w:cnfStyle w:val="100000000000"/>
          <w:trHeight w:val="567"/>
        </w:trPr>
        <w:tc>
          <w:tcPr>
            <w:cnfStyle w:val="001000000000"/>
            <w:tcW w:w="6345" w:type="dxa"/>
            <w:tcBorders>
              <w:bottom w:val="none" w:sz="0" w:space="0" w:color="auto"/>
            </w:tcBorders>
            <w:shd w:val="clear" w:color="auto" w:fill="7030A0"/>
            <w:vAlign w:val="center"/>
          </w:tcPr>
          <w:p w:rsidR="008D3223" w:rsidRPr="00F357D7" w:rsidRDefault="008D3223" w:rsidP="00F357D7">
            <w:pPr>
              <w:jc w:val="center"/>
              <w:rPr>
                <w:sz w:val="24"/>
              </w:rPr>
            </w:pPr>
            <w:r w:rsidRPr="00F357D7">
              <w:rPr>
                <w:rFonts w:cstheme="minorHAnsi"/>
                <w:sz w:val="24"/>
              </w:rPr>
              <w:t>TOTAL DE RECOMENDACIONES EMITIDAS</w:t>
            </w:r>
          </w:p>
        </w:tc>
        <w:tc>
          <w:tcPr>
            <w:tcW w:w="3008" w:type="dxa"/>
            <w:tcBorders>
              <w:bottom w:val="none" w:sz="0" w:space="0" w:color="auto"/>
            </w:tcBorders>
            <w:shd w:val="clear" w:color="auto" w:fill="7030A0"/>
            <w:vAlign w:val="center"/>
          </w:tcPr>
          <w:p w:rsidR="008D3223" w:rsidRPr="00F357D7" w:rsidRDefault="008D3223" w:rsidP="00FE0484">
            <w:pPr>
              <w:jc w:val="center"/>
              <w:cnfStyle w:val="100000000000"/>
              <w:rPr>
                <w:sz w:val="24"/>
              </w:rPr>
            </w:pPr>
            <w:r w:rsidRPr="00F357D7">
              <w:rPr>
                <w:rFonts w:cstheme="minorHAnsi"/>
                <w:sz w:val="24"/>
              </w:rPr>
              <w:t>13</w:t>
            </w:r>
          </w:p>
        </w:tc>
      </w:tr>
      <w:tr w:rsidR="008D3223" w:rsidTr="00F357D7">
        <w:trPr>
          <w:cnfStyle w:val="000000100000"/>
          <w:trHeight w:val="567"/>
        </w:trPr>
        <w:tc>
          <w:tcPr>
            <w:cnfStyle w:val="001000000000"/>
            <w:tcW w:w="6345" w:type="dxa"/>
            <w:vAlign w:val="center"/>
          </w:tcPr>
          <w:p w:rsidR="008D3223" w:rsidRPr="00F357D7" w:rsidRDefault="008D3223" w:rsidP="004C23A7">
            <w:pPr>
              <w:rPr>
                <w:sz w:val="24"/>
              </w:rPr>
            </w:pPr>
            <w:r w:rsidRPr="00F357D7">
              <w:rPr>
                <w:rFonts w:cstheme="minorHAnsi"/>
                <w:sz w:val="24"/>
              </w:rPr>
              <w:t>TOTAL DE RECOMENDACIONES ATENDIDAS</w:t>
            </w:r>
          </w:p>
        </w:tc>
        <w:tc>
          <w:tcPr>
            <w:tcW w:w="3008" w:type="dxa"/>
            <w:vAlign w:val="center"/>
          </w:tcPr>
          <w:p w:rsidR="008D3223" w:rsidRPr="00F357D7" w:rsidRDefault="008D3223" w:rsidP="00FE0484">
            <w:pPr>
              <w:jc w:val="center"/>
              <w:cnfStyle w:val="000000100000"/>
              <w:rPr>
                <w:b/>
                <w:sz w:val="24"/>
              </w:rPr>
            </w:pPr>
            <w:r w:rsidRPr="00F357D7">
              <w:rPr>
                <w:b/>
                <w:sz w:val="24"/>
              </w:rPr>
              <w:t>1</w:t>
            </w:r>
          </w:p>
        </w:tc>
      </w:tr>
      <w:tr w:rsidR="008D3223" w:rsidTr="00F357D7">
        <w:trPr>
          <w:trHeight w:val="567"/>
        </w:trPr>
        <w:tc>
          <w:tcPr>
            <w:cnfStyle w:val="001000000000"/>
            <w:tcW w:w="6345" w:type="dxa"/>
            <w:vAlign w:val="center"/>
          </w:tcPr>
          <w:p w:rsidR="008D3223" w:rsidRPr="00F357D7" w:rsidRDefault="008D3223" w:rsidP="004C23A7">
            <w:pPr>
              <w:rPr>
                <w:sz w:val="24"/>
              </w:rPr>
            </w:pPr>
            <w:r w:rsidRPr="00F357D7">
              <w:rPr>
                <w:rFonts w:cstheme="minorHAnsi"/>
                <w:sz w:val="24"/>
              </w:rPr>
              <w:t>TOTAL DE RECOMENDACIONES NO ATENDIDAS</w:t>
            </w:r>
          </w:p>
        </w:tc>
        <w:tc>
          <w:tcPr>
            <w:tcW w:w="3008" w:type="dxa"/>
            <w:vAlign w:val="center"/>
          </w:tcPr>
          <w:p w:rsidR="008D3223" w:rsidRPr="00F357D7" w:rsidRDefault="008D3223" w:rsidP="00FE0484">
            <w:pPr>
              <w:jc w:val="center"/>
              <w:cnfStyle w:val="000000000000"/>
              <w:rPr>
                <w:b/>
                <w:sz w:val="24"/>
              </w:rPr>
            </w:pPr>
            <w:r w:rsidRPr="00F357D7">
              <w:rPr>
                <w:b/>
                <w:sz w:val="24"/>
              </w:rPr>
              <w:t>12</w:t>
            </w:r>
          </w:p>
        </w:tc>
      </w:tr>
      <w:tr w:rsidR="008D3223" w:rsidTr="00F357D7">
        <w:trPr>
          <w:cnfStyle w:val="000000100000"/>
          <w:trHeight w:val="567"/>
        </w:trPr>
        <w:tc>
          <w:tcPr>
            <w:cnfStyle w:val="001000000000"/>
            <w:tcW w:w="6345" w:type="dxa"/>
            <w:vAlign w:val="center"/>
          </w:tcPr>
          <w:p w:rsidR="008D3223" w:rsidRPr="00F357D7" w:rsidRDefault="008D3223" w:rsidP="004C23A7">
            <w:pPr>
              <w:rPr>
                <w:sz w:val="24"/>
              </w:rPr>
            </w:pPr>
            <w:r w:rsidRPr="00F357D7">
              <w:rPr>
                <w:rFonts w:cstheme="minorHAnsi"/>
                <w:sz w:val="24"/>
              </w:rPr>
              <w:t>PORCENTAJE DE ATENCIÓN A RECOMENDACIONES EMITIDAS</w:t>
            </w:r>
          </w:p>
        </w:tc>
        <w:tc>
          <w:tcPr>
            <w:tcW w:w="3008" w:type="dxa"/>
            <w:vAlign w:val="center"/>
          </w:tcPr>
          <w:p w:rsidR="008D3223" w:rsidRPr="00F357D7" w:rsidRDefault="008D3223" w:rsidP="00FE0484">
            <w:pPr>
              <w:jc w:val="center"/>
              <w:cnfStyle w:val="000000100000"/>
              <w:rPr>
                <w:b/>
                <w:sz w:val="24"/>
              </w:rPr>
            </w:pPr>
            <w:r w:rsidRPr="00F357D7">
              <w:rPr>
                <w:b/>
                <w:sz w:val="24"/>
              </w:rPr>
              <w:t>7.69</w:t>
            </w:r>
            <w:r w:rsidR="004C23A7" w:rsidRPr="00F357D7">
              <w:rPr>
                <w:b/>
                <w:sz w:val="24"/>
              </w:rPr>
              <w:t xml:space="preserve"> </w:t>
            </w:r>
            <w:r w:rsidRPr="00F357D7">
              <w:rPr>
                <w:b/>
                <w:sz w:val="24"/>
              </w:rPr>
              <w:t>%</w:t>
            </w:r>
          </w:p>
        </w:tc>
      </w:tr>
    </w:tbl>
    <w:p w:rsidR="008D3223" w:rsidRPr="0032147D" w:rsidRDefault="008D3223" w:rsidP="00AF51F3">
      <w:pPr>
        <w:jc w:val="center"/>
        <w:rPr>
          <w:rFonts w:asciiTheme="minorHAnsi" w:hAnsiTheme="minorHAnsi" w:cstheme="minorHAnsi"/>
          <w:b/>
        </w:rPr>
      </w:pPr>
    </w:p>
    <w:p w:rsidR="00CF4D74" w:rsidRPr="00337B2C" w:rsidRDefault="00CF4D74" w:rsidP="00B907DD">
      <w:pPr>
        <w:autoSpaceDE w:val="0"/>
        <w:autoSpaceDN w:val="0"/>
        <w:adjustRightInd w:val="0"/>
        <w:spacing w:after="0" w:line="240" w:lineRule="auto"/>
        <w:jc w:val="both"/>
        <w:rPr>
          <w:rFonts w:asciiTheme="minorHAnsi" w:hAnsiTheme="minorHAnsi"/>
          <w:lang w:eastAsia="es-MX"/>
        </w:rPr>
      </w:pPr>
    </w:p>
    <w:p w:rsidR="00CF4D74" w:rsidRPr="00337B2C" w:rsidRDefault="00CF4D74" w:rsidP="00B907DD">
      <w:pPr>
        <w:autoSpaceDE w:val="0"/>
        <w:autoSpaceDN w:val="0"/>
        <w:adjustRightInd w:val="0"/>
        <w:spacing w:after="0" w:line="240" w:lineRule="auto"/>
        <w:jc w:val="both"/>
        <w:rPr>
          <w:rFonts w:asciiTheme="minorHAnsi" w:hAnsiTheme="minorHAnsi"/>
          <w:lang w:eastAsia="es-MX"/>
        </w:rPr>
      </w:pPr>
    </w:p>
    <w:sectPr w:rsidR="00CF4D74" w:rsidRPr="00337B2C"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005" w:rsidRDefault="00937005" w:rsidP="00403752">
      <w:pPr>
        <w:spacing w:after="0" w:line="240" w:lineRule="auto"/>
      </w:pPr>
      <w:r>
        <w:separator/>
      </w:r>
    </w:p>
  </w:endnote>
  <w:endnote w:type="continuationSeparator" w:id="0">
    <w:p w:rsidR="00937005" w:rsidRDefault="00937005" w:rsidP="0040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1A319E" w:rsidRPr="00FA4360" w:rsidTr="00FC79FF">
      <w:tc>
        <w:tcPr>
          <w:tcW w:w="9180" w:type="dxa"/>
        </w:tcPr>
        <w:p w:rsidR="001A319E" w:rsidRPr="00571AF4" w:rsidRDefault="001A319E"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571AF4" w:rsidRDefault="00571AF4"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35534D" w:rsidRPr="00571AF4" w:rsidRDefault="0035534D" w:rsidP="0035534D">
          <w:pPr>
            <w:pStyle w:val="Sinespaciado"/>
            <w:jc w:val="right"/>
            <w:rPr>
              <w:rFonts w:asciiTheme="majorHAnsi" w:hAnsiTheme="majorHAnsi"/>
              <w:sz w:val="18"/>
            </w:rPr>
          </w:pPr>
          <w:r w:rsidRPr="00571AF4">
            <w:rPr>
              <w:rFonts w:asciiTheme="majorHAnsi" w:hAnsiTheme="majorHAnsi"/>
              <w:b/>
              <w:sz w:val="16"/>
            </w:rPr>
            <w:t>Fecha de la</w:t>
          </w:r>
          <w:r>
            <w:rPr>
              <w:rFonts w:asciiTheme="majorHAnsi" w:hAnsiTheme="majorHAnsi"/>
              <w:b/>
              <w:sz w:val="16"/>
            </w:rPr>
            <w:t xml:space="preserve"> </w:t>
          </w:r>
          <w:r w:rsidR="00194A57">
            <w:rPr>
              <w:rFonts w:asciiTheme="majorHAnsi" w:hAnsiTheme="majorHAnsi"/>
              <w:b/>
              <w:sz w:val="16"/>
            </w:rPr>
            <w:t>segunda</w:t>
          </w:r>
          <w:r w:rsidRPr="00571AF4">
            <w:rPr>
              <w:rFonts w:asciiTheme="majorHAnsi" w:hAnsiTheme="majorHAnsi"/>
              <w:b/>
              <w:sz w:val="16"/>
            </w:rPr>
            <w:t xml:space="preserve"> revisión</w:t>
          </w:r>
          <w:r w:rsidRPr="00571AF4">
            <w:rPr>
              <w:rFonts w:asciiTheme="majorHAnsi" w:hAnsiTheme="majorHAnsi"/>
              <w:sz w:val="16"/>
            </w:rPr>
            <w:t xml:space="preserve">: </w:t>
          </w:r>
          <w:r>
            <w:rPr>
              <w:rFonts w:asciiTheme="majorHAnsi" w:hAnsiTheme="majorHAnsi"/>
              <w:sz w:val="16"/>
            </w:rPr>
            <w:t xml:space="preserve"> </w:t>
          </w:r>
          <w:r w:rsidR="008F15D5">
            <w:rPr>
              <w:rFonts w:asciiTheme="majorHAnsi" w:hAnsiTheme="majorHAnsi"/>
              <w:sz w:val="16"/>
            </w:rPr>
            <w:t xml:space="preserve">11 de febrero </w:t>
          </w:r>
          <w:r w:rsidR="008D3223">
            <w:rPr>
              <w:rFonts w:asciiTheme="majorHAnsi" w:hAnsiTheme="majorHAnsi"/>
              <w:sz w:val="16"/>
            </w:rPr>
            <w:t xml:space="preserve"> de 2015</w:t>
          </w:r>
        </w:p>
        <w:p w:rsidR="001A319E" w:rsidRPr="00FA4360" w:rsidRDefault="001A319E" w:rsidP="00A741B6">
          <w:pPr>
            <w:pStyle w:val="Sinespaciado"/>
            <w:tabs>
              <w:tab w:val="left" w:pos="1741"/>
            </w:tabs>
            <w:jc w:val="right"/>
            <w:rPr>
              <w:rFonts w:asciiTheme="majorHAnsi" w:hAnsiTheme="majorHAnsi"/>
              <w:sz w:val="20"/>
            </w:rPr>
          </w:pPr>
        </w:p>
        <w:p w:rsidR="001A319E" w:rsidRPr="00FA4360" w:rsidRDefault="001A319E"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1A319E" w:rsidRPr="00E224B8" w:rsidRDefault="001A319E" w:rsidP="001829AA">
          <w:pPr>
            <w:pStyle w:val="Piedepgina"/>
            <w:rPr>
              <w:rFonts w:asciiTheme="majorHAnsi" w:hAnsiTheme="majorHAnsi"/>
              <w:b/>
              <w:sz w:val="18"/>
              <w:szCs w:val="18"/>
            </w:rPr>
          </w:pPr>
        </w:p>
        <w:p w:rsidR="001A319E" w:rsidRDefault="004936C6" w:rsidP="0007035A">
          <w:pPr>
            <w:pStyle w:val="Piedepgina"/>
            <w:rPr>
              <w:rFonts w:asciiTheme="majorHAnsi" w:hAnsiTheme="majorHAnsi"/>
              <w:b/>
              <w:noProof/>
              <w:sz w:val="18"/>
              <w:szCs w:val="18"/>
            </w:rPr>
          </w:pPr>
          <w:r w:rsidRPr="00E224B8">
            <w:rPr>
              <w:rFonts w:asciiTheme="majorHAnsi" w:hAnsiTheme="majorHAnsi"/>
              <w:b/>
              <w:sz w:val="18"/>
              <w:szCs w:val="18"/>
            </w:rPr>
            <w:fldChar w:fldCharType="begin"/>
          </w:r>
          <w:r w:rsidR="001A319E"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CE23F1">
            <w:rPr>
              <w:rFonts w:asciiTheme="majorHAnsi" w:hAnsiTheme="majorHAnsi"/>
              <w:b/>
              <w:noProof/>
              <w:sz w:val="18"/>
              <w:szCs w:val="18"/>
            </w:rPr>
            <w:t>5</w:t>
          </w:r>
          <w:r w:rsidRPr="00E224B8">
            <w:rPr>
              <w:rFonts w:asciiTheme="majorHAnsi" w:hAnsiTheme="majorHAnsi"/>
              <w:b/>
              <w:noProof/>
              <w:sz w:val="18"/>
              <w:szCs w:val="18"/>
            </w:rPr>
            <w:fldChar w:fldCharType="end"/>
          </w:r>
          <w:r w:rsidR="006D708D">
            <w:rPr>
              <w:rFonts w:asciiTheme="majorHAnsi" w:hAnsiTheme="majorHAnsi"/>
              <w:b/>
              <w:noProof/>
              <w:sz w:val="18"/>
              <w:szCs w:val="18"/>
            </w:rPr>
            <w:t xml:space="preserve"> de </w:t>
          </w:r>
          <w:r w:rsidR="00D15085">
            <w:rPr>
              <w:rFonts w:asciiTheme="majorHAnsi" w:hAnsiTheme="majorHAnsi"/>
              <w:b/>
              <w:noProof/>
              <w:sz w:val="18"/>
              <w:szCs w:val="18"/>
            </w:rPr>
            <w:t>7</w:t>
          </w:r>
        </w:p>
        <w:p w:rsidR="0007035A" w:rsidRPr="00E224B8" w:rsidRDefault="0007035A" w:rsidP="0007035A">
          <w:pPr>
            <w:pStyle w:val="Piedepgina"/>
            <w:rPr>
              <w:rFonts w:asciiTheme="majorHAnsi" w:hAnsiTheme="majorHAnsi"/>
              <w:b/>
              <w:sz w:val="18"/>
              <w:szCs w:val="18"/>
            </w:rPr>
          </w:pPr>
        </w:p>
      </w:tc>
    </w:tr>
  </w:tbl>
  <w:p w:rsidR="001A319E" w:rsidRPr="00A64416" w:rsidRDefault="001A319E"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005" w:rsidRDefault="00937005" w:rsidP="00403752">
      <w:pPr>
        <w:spacing w:after="0" w:line="240" w:lineRule="auto"/>
      </w:pPr>
      <w:r>
        <w:separator/>
      </w:r>
    </w:p>
  </w:footnote>
  <w:footnote w:type="continuationSeparator" w:id="0">
    <w:p w:rsidR="00937005" w:rsidRDefault="00937005" w:rsidP="00403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1A319E" w:rsidRPr="00625444" w:rsidTr="00A64416">
      <w:trPr>
        <w:trHeight w:val="1492"/>
      </w:trPr>
      <w:tc>
        <w:tcPr>
          <w:tcW w:w="8552" w:type="dxa"/>
          <w:tcBorders>
            <w:bottom w:val="single" w:sz="18" w:space="0" w:color="808080"/>
          </w:tcBorders>
        </w:tcPr>
        <w:p w:rsidR="001A319E" w:rsidRDefault="001A319E"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1A319E" w:rsidRDefault="001A319E"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1A319E" w:rsidRDefault="001A319E"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1A319E" w:rsidRDefault="001A319E">
    <w:pPr>
      <w:pStyle w:val="Encabezado"/>
    </w:pPr>
    <w:r>
      <w:rPr>
        <w:noProof/>
        <w:lang w:eastAsia="es-MX"/>
      </w:rPr>
      <w:drawing>
        <wp:anchor distT="0" distB="0" distL="114300" distR="114300" simplePos="0" relativeHeight="251657728"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075"/>
    <w:multiLevelType w:val="hybridMultilevel"/>
    <w:tmpl w:val="B3486890"/>
    <w:lvl w:ilvl="0" w:tplc="B4FE2BE4">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
    <w:nsid w:val="0629160E"/>
    <w:multiLevelType w:val="hybridMultilevel"/>
    <w:tmpl w:val="319A6640"/>
    <w:lvl w:ilvl="0" w:tplc="4342D1B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92803BA"/>
    <w:multiLevelType w:val="hybridMultilevel"/>
    <w:tmpl w:val="CD6C3C68"/>
    <w:lvl w:ilvl="0" w:tplc="B2EEF77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CBD6048"/>
    <w:multiLevelType w:val="hybridMultilevel"/>
    <w:tmpl w:val="D30067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E46A5D"/>
    <w:multiLevelType w:val="hybridMultilevel"/>
    <w:tmpl w:val="93ACCA2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B5B2E39"/>
    <w:multiLevelType w:val="hybridMultilevel"/>
    <w:tmpl w:val="5D3AFECC"/>
    <w:lvl w:ilvl="0" w:tplc="6D364B2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CC2695C"/>
    <w:multiLevelType w:val="hybridMultilevel"/>
    <w:tmpl w:val="8D1C08B8"/>
    <w:lvl w:ilvl="0" w:tplc="C84ECC7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FF12296"/>
    <w:multiLevelType w:val="hybridMultilevel"/>
    <w:tmpl w:val="0B2AC422"/>
    <w:lvl w:ilvl="0" w:tplc="D4D4723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22374D8D"/>
    <w:multiLevelType w:val="hybridMultilevel"/>
    <w:tmpl w:val="CED0B1B2"/>
    <w:lvl w:ilvl="0" w:tplc="717AAE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3830A0B"/>
    <w:multiLevelType w:val="hybridMultilevel"/>
    <w:tmpl w:val="03BA546E"/>
    <w:lvl w:ilvl="0" w:tplc="50402E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62A48AB"/>
    <w:multiLevelType w:val="hybridMultilevel"/>
    <w:tmpl w:val="75CC9C2C"/>
    <w:lvl w:ilvl="0" w:tplc="2918DA04">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nsid w:val="273B4782"/>
    <w:multiLevelType w:val="hybridMultilevel"/>
    <w:tmpl w:val="CED0B1B2"/>
    <w:lvl w:ilvl="0" w:tplc="717AAE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857416F"/>
    <w:multiLevelType w:val="hybridMultilevel"/>
    <w:tmpl w:val="8EB67480"/>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8B26F8F"/>
    <w:multiLevelType w:val="hybridMultilevel"/>
    <w:tmpl w:val="CED0B1B2"/>
    <w:lvl w:ilvl="0" w:tplc="717AAE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A221125"/>
    <w:multiLevelType w:val="hybridMultilevel"/>
    <w:tmpl w:val="BBC2A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AED05DD"/>
    <w:multiLevelType w:val="hybridMultilevel"/>
    <w:tmpl w:val="F32ECD36"/>
    <w:lvl w:ilvl="0" w:tplc="504247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4B66D9"/>
    <w:multiLevelType w:val="hybridMultilevel"/>
    <w:tmpl w:val="56BA85EA"/>
    <w:lvl w:ilvl="0" w:tplc="3576673E">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31976C7"/>
    <w:multiLevelType w:val="hybridMultilevel"/>
    <w:tmpl w:val="F3083DAC"/>
    <w:lvl w:ilvl="0" w:tplc="816A64C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F1A7862"/>
    <w:multiLevelType w:val="hybridMultilevel"/>
    <w:tmpl w:val="6C68533C"/>
    <w:lvl w:ilvl="0" w:tplc="86C80EB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5117214A"/>
    <w:multiLevelType w:val="hybridMultilevel"/>
    <w:tmpl w:val="A63CC90C"/>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512E0EF1"/>
    <w:multiLevelType w:val="hybridMultilevel"/>
    <w:tmpl w:val="DACE90DC"/>
    <w:lvl w:ilvl="0" w:tplc="D8AC0118">
      <w:start w:val="1"/>
      <w:numFmt w:val="decimal"/>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nsid w:val="52B77A3B"/>
    <w:multiLevelType w:val="hybridMultilevel"/>
    <w:tmpl w:val="141237C6"/>
    <w:lvl w:ilvl="0" w:tplc="3976DC5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574D7F33"/>
    <w:multiLevelType w:val="hybridMultilevel"/>
    <w:tmpl w:val="1638DF94"/>
    <w:lvl w:ilvl="0" w:tplc="C062FE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CA0413C"/>
    <w:multiLevelType w:val="hybridMultilevel"/>
    <w:tmpl w:val="497458EE"/>
    <w:lvl w:ilvl="0" w:tplc="E6F6316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60252466"/>
    <w:multiLevelType w:val="hybridMultilevel"/>
    <w:tmpl w:val="EE24934A"/>
    <w:lvl w:ilvl="0" w:tplc="29A4F11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623D0BF5"/>
    <w:multiLevelType w:val="hybridMultilevel"/>
    <w:tmpl w:val="222406D8"/>
    <w:lvl w:ilvl="0" w:tplc="018A822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67F73BE0"/>
    <w:multiLevelType w:val="hybridMultilevel"/>
    <w:tmpl w:val="5EC086A2"/>
    <w:lvl w:ilvl="0" w:tplc="7DFE1B2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77A2479B"/>
    <w:multiLevelType w:val="hybridMultilevel"/>
    <w:tmpl w:val="821A95A4"/>
    <w:lvl w:ilvl="0" w:tplc="5E3E0C16">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7ACC3AB3"/>
    <w:multiLevelType w:val="hybridMultilevel"/>
    <w:tmpl w:val="E8EEA9A4"/>
    <w:lvl w:ilvl="0" w:tplc="8FCADA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14424F"/>
    <w:multiLevelType w:val="hybridMultilevel"/>
    <w:tmpl w:val="26422714"/>
    <w:lvl w:ilvl="0" w:tplc="86EED44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7E1D7670"/>
    <w:multiLevelType w:val="hybridMultilevel"/>
    <w:tmpl w:val="97481CA6"/>
    <w:lvl w:ilvl="0" w:tplc="0409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7F0C3A78"/>
    <w:multiLevelType w:val="hybridMultilevel"/>
    <w:tmpl w:val="20E67048"/>
    <w:lvl w:ilvl="0" w:tplc="0C88F768">
      <w:start w:val="1"/>
      <w:numFmt w:val="decimal"/>
      <w:lvlText w:val="%1."/>
      <w:lvlJc w:val="left"/>
      <w:pPr>
        <w:ind w:left="1068" w:hanging="360"/>
      </w:pPr>
      <w:rPr>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2"/>
  </w:num>
  <w:num w:numId="2">
    <w:abstractNumId w:val="20"/>
  </w:num>
  <w:num w:numId="3">
    <w:abstractNumId w:val="19"/>
  </w:num>
  <w:num w:numId="4">
    <w:abstractNumId w:val="33"/>
  </w:num>
  <w:num w:numId="5">
    <w:abstractNumId w:val="21"/>
  </w:num>
  <w:num w:numId="6">
    <w:abstractNumId w:val="18"/>
  </w:num>
  <w:num w:numId="7">
    <w:abstractNumId w:val="16"/>
  </w:num>
  <w:num w:numId="8">
    <w:abstractNumId w:val="10"/>
  </w:num>
  <w:num w:numId="9">
    <w:abstractNumId w:val="26"/>
  </w:num>
  <w:num w:numId="10">
    <w:abstractNumId w:val="27"/>
  </w:num>
  <w:num w:numId="11">
    <w:abstractNumId w:val="4"/>
  </w:num>
  <w:num w:numId="12">
    <w:abstractNumId w:val="1"/>
  </w:num>
  <w:num w:numId="13">
    <w:abstractNumId w:val="32"/>
  </w:num>
  <w:num w:numId="14">
    <w:abstractNumId w:val="7"/>
  </w:num>
  <w:num w:numId="15">
    <w:abstractNumId w:val="5"/>
  </w:num>
  <w:num w:numId="16">
    <w:abstractNumId w:val="6"/>
  </w:num>
  <w:num w:numId="17">
    <w:abstractNumId w:val="14"/>
  </w:num>
  <w:num w:numId="18">
    <w:abstractNumId w:val="17"/>
  </w:num>
  <w:num w:numId="19">
    <w:abstractNumId w:val="2"/>
  </w:num>
  <w:num w:numId="20">
    <w:abstractNumId w:val="22"/>
  </w:num>
  <w:num w:numId="21">
    <w:abstractNumId w:val="29"/>
  </w:num>
  <w:num w:numId="22">
    <w:abstractNumId w:val="0"/>
  </w:num>
  <w:num w:numId="23">
    <w:abstractNumId w:val="31"/>
  </w:num>
  <w:num w:numId="24">
    <w:abstractNumId w:val="23"/>
  </w:num>
  <w:num w:numId="25">
    <w:abstractNumId w:val="13"/>
  </w:num>
  <w:num w:numId="26">
    <w:abstractNumId w:val="8"/>
  </w:num>
  <w:num w:numId="27">
    <w:abstractNumId w:val="11"/>
  </w:num>
  <w:num w:numId="28">
    <w:abstractNumId w:val="24"/>
  </w:num>
  <w:num w:numId="29">
    <w:abstractNumId w:val="25"/>
  </w:num>
  <w:num w:numId="30">
    <w:abstractNumId w:val="9"/>
  </w:num>
  <w:num w:numId="31">
    <w:abstractNumId w:val="15"/>
  </w:num>
  <w:num w:numId="32">
    <w:abstractNumId w:val="28"/>
  </w:num>
  <w:num w:numId="33">
    <w:abstractNumId w:val="3"/>
  </w:num>
  <w:num w:numId="34">
    <w:abstractNumId w:val="3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87041"/>
  </w:hdrShapeDefaults>
  <w:footnotePr>
    <w:footnote w:id="-1"/>
    <w:footnote w:id="0"/>
  </w:footnotePr>
  <w:endnotePr>
    <w:endnote w:id="-1"/>
    <w:endnote w:id="0"/>
  </w:endnotePr>
  <w:compat/>
  <w:rsids>
    <w:rsidRoot w:val="00403752"/>
    <w:rsid w:val="0000025E"/>
    <w:rsid w:val="00000364"/>
    <w:rsid w:val="000006F9"/>
    <w:rsid w:val="00000C16"/>
    <w:rsid w:val="00000C64"/>
    <w:rsid w:val="0000101F"/>
    <w:rsid w:val="00001B04"/>
    <w:rsid w:val="00001EC8"/>
    <w:rsid w:val="00002B58"/>
    <w:rsid w:val="0000480D"/>
    <w:rsid w:val="00004C3E"/>
    <w:rsid w:val="000052A3"/>
    <w:rsid w:val="00005315"/>
    <w:rsid w:val="00005529"/>
    <w:rsid w:val="000058AA"/>
    <w:rsid w:val="000079E3"/>
    <w:rsid w:val="00007E90"/>
    <w:rsid w:val="00010A00"/>
    <w:rsid w:val="00011343"/>
    <w:rsid w:val="000115DF"/>
    <w:rsid w:val="000116E6"/>
    <w:rsid w:val="000139D2"/>
    <w:rsid w:val="000146E0"/>
    <w:rsid w:val="000160D3"/>
    <w:rsid w:val="00017379"/>
    <w:rsid w:val="000179DF"/>
    <w:rsid w:val="00020013"/>
    <w:rsid w:val="000207E1"/>
    <w:rsid w:val="0002124C"/>
    <w:rsid w:val="00022C5D"/>
    <w:rsid w:val="00024917"/>
    <w:rsid w:val="000256E9"/>
    <w:rsid w:val="0002586C"/>
    <w:rsid w:val="00025E69"/>
    <w:rsid w:val="00026539"/>
    <w:rsid w:val="000276F5"/>
    <w:rsid w:val="00027C3D"/>
    <w:rsid w:val="00030899"/>
    <w:rsid w:val="0003139D"/>
    <w:rsid w:val="00031F01"/>
    <w:rsid w:val="00032440"/>
    <w:rsid w:val="00032E01"/>
    <w:rsid w:val="000338B1"/>
    <w:rsid w:val="00033DA6"/>
    <w:rsid w:val="00033FF8"/>
    <w:rsid w:val="000363E5"/>
    <w:rsid w:val="00036640"/>
    <w:rsid w:val="00036D17"/>
    <w:rsid w:val="00036D5B"/>
    <w:rsid w:val="00036E44"/>
    <w:rsid w:val="00036EA0"/>
    <w:rsid w:val="000377B0"/>
    <w:rsid w:val="00037A5D"/>
    <w:rsid w:val="00040308"/>
    <w:rsid w:val="00040AFE"/>
    <w:rsid w:val="000414FA"/>
    <w:rsid w:val="00044867"/>
    <w:rsid w:val="000448DC"/>
    <w:rsid w:val="000459B2"/>
    <w:rsid w:val="00045E1D"/>
    <w:rsid w:val="00046179"/>
    <w:rsid w:val="00046DE5"/>
    <w:rsid w:val="0005119B"/>
    <w:rsid w:val="000517F2"/>
    <w:rsid w:val="0005230C"/>
    <w:rsid w:val="000527C3"/>
    <w:rsid w:val="00052E80"/>
    <w:rsid w:val="00053CE2"/>
    <w:rsid w:val="0005432E"/>
    <w:rsid w:val="00057340"/>
    <w:rsid w:val="00060721"/>
    <w:rsid w:val="00062354"/>
    <w:rsid w:val="000632CD"/>
    <w:rsid w:val="00063BE4"/>
    <w:rsid w:val="00063D40"/>
    <w:rsid w:val="000640D8"/>
    <w:rsid w:val="00067866"/>
    <w:rsid w:val="00067E84"/>
    <w:rsid w:val="0007035A"/>
    <w:rsid w:val="0007340E"/>
    <w:rsid w:val="00073ABB"/>
    <w:rsid w:val="000741DB"/>
    <w:rsid w:val="00074C09"/>
    <w:rsid w:val="0007590C"/>
    <w:rsid w:val="00075B82"/>
    <w:rsid w:val="0007609D"/>
    <w:rsid w:val="000763B6"/>
    <w:rsid w:val="000769DD"/>
    <w:rsid w:val="000776E2"/>
    <w:rsid w:val="00077A9D"/>
    <w:rsid w:val="0008022B"/>
    <w:rsid w:val="00080C43"/>
    <w:rsid w:val="00081571"/>
    <w:rsid w:val="00081CAD"/>
    <w:rsid w:val="00081DA7"/>
    <w:rsid w:val="000838A6"/>
    <w:rsid w:val="000846A5"/>
    <w:rsid w:val="00084A3B"/>
    <w:rsid w:val="000853EA"/>
    <w:rsid w:val="0008546E"/>
    <w:rsid w:val="0008667F"/>
    <w:rsid w:val="000909BD"/>
    <w:rsid w:val="00091497"/>
    <w:rsid w:val="000978DF"/>
    <w:rsid w:val="000978EB"/>
    <w:rsid w:val="00097BF5"/>
    <w:rsid w:val="000A11E6"/>
    <w:rsid w:val="000A172F"/>
    <w:rsid w:val="000A6E53"/>
    <w:rsid w:val="000B0363"/>
    <w:rsid w:val="000B09D6"/>
    <w:rsid w:val="000B1F68"/>
    <w:rsid w:val="000B20CB"/>
    <w:rsid w:val="000B27ED"/>
    <w:rsid w:val="000B31FF"/>
    <w:rsid w:val="000B5048"/>
    <w:rsid w:val="000B5F2F"/>
    <w:rsid w:val="000B5FA5"/>
    <w:rsid w:val="000B60FB"/>
    <w:rsid w:val="000B6A2C"/>
    <w:rsid w:val="000C0BF7"/>
    <w:rsid w:val="000C105B"/>
    <w:rsid w:val="000C2AF6"/>
    <w:rsid w:val="000C2B5A"/>
    <w:rsid w:val="000C388F"/>
    <w:rsid w:val="000C3C2A"/>
    <w:rsid w:val="000C4652"/>
    <w:rsid w:val="000C6EE8"/>
    <w:rsid w:val="000C7AFF"/>
    <w:rsid w:val="000D1832"/>
    <w:rsid w:val="000D1974"/>
    <w:rsid w:val="000D1DEE"/>
    <w:rsid w:val="000D1F3F"/>
    <w:rsid w:val="000D6FE4"/>
    <w:rsid w:val="000E1A14"/>
    <w:rsid w:val="000E1E7B"/>
    <w:rsid w:val="000E1ED9"/>
    <w:rsid w:val="000E2428"/>
    <w:rsid w:val="000E31AD"/>
    <w:rsid w:val="000E4C2E"/>
    <w:rsid w:val="000E63B8"/>
    <w:rsid w:val="000E6F11"/>
    <w:rsid w:val="000E72C8"/>
    <w:rsid w:val="000E7C36"/>
    <w:rsid w:val="000F0E38"/>
    <w:rsid w:val="000F1402"/>
    <w:rsid w:val="000F2565"/>
    <w:rsid w:val="000F3BBE"/>
    <w:rsid w:val="000F3D81"/>
    <w:rsid w:val="000F5A85"/>
    <w:rsid w:val="000F5EFB"/>
    <w:rsid w:val="000F659E"/>
    <w:rsid w:val="000F66CB"/>
    <w:rsid w:val="000F7A3E"/>
    <w:rsid w:val="000F7A4E"/>
    <w:rsid w:val="0010055A"/>
    <w:rsid w:val="00100585"/>
    <w:rsid w:val="00100751"/>
    <w:rsid w:val="00101742"/>
    <w:rsid w:val="0010188E"/>
    <w:rsid w:val="00103E2F"/>
    <w:rsid w:val="001068BE"/>
    <w:rsid w:val="00107170"/>
    <w:rsid w:val="001113B9"/>
    <w:rsid w:val="00111528"/>
    <w:rsid w:val="00112652"/>
    <w:rsid w:val="00112655"/>
    <w:rsid w:val="0011390E"/>
    <w:rsid w:val="00114705"/>
    <w:rsid w:val="00116909"/>
    <w:rsid w:val="00116E84"/>
    <w:rsid w:val="00117927"/>
    <w:rsid w:val="00120950"/>
    <w:rsid w:val="00120A77"/>
    <w:rsid w:val="00120AE3"/>
    <w:rsid w:val="001221E6"/>
    <w:rsid w:val="00122E1C"/>
    <w:rsid w:val="00124A19"/>
    <w:rsid w:val="00124B8B"/>
    <w:rsid w:val="00124FE6"/>
    <w:rsid w:val="0012580B"/>
    <w:rsid w:val="00125940"/>
    <w:rsid w:val="00125DAC"/>
    <w:rsid w:val="00125FCC"/>
    <w:rsid w:val="00126396"/>
    <w:rsid w:val="00126568"/>
    <w:rsid w:val="00130F1E"/>
    <w:rsid w:val="00130FE5"/>
    <w:rsid w:val="0013154B"/>
    <w:rsid w:val="00132197"/>
    <w:rsid w:val="001321FC"/>
    <w:rsid w:val="00132543"/>
    <w:rsid w:val="00132BE2"/>
    <w:rsid w:val="00132DA4"/>
    <w:rsid w:val="00133CF0"/>
    <w:rsid w:val="00133D58"/>
    <w:rsid w:val="00134B6B"/>
    <w:rsid w:val="0013655E"/>
    <w:rsid w:val="001407E4"/>
    <w:rsid w:val="00142EF2"/>
    <w:rsid w:val="00142F77"/>
    <w:rsid w:val="00143200"/>
    <w:rsid w:val="00143802"/>
    <w:rsid w:val="00143BA5"/>
    <w:rsid w:val="00143E2D"/>
    <w:rsid w:val="00144C27"/>
    <w:rsid w:val="00146AF4"/>
    <w:rsid w:val="0015031F"/>
    <w:rsid w:val="00150AAD"/>
    <w:rsid w:val="00151B7F"/>
    <w:rsid w:val="001522EE"/>
    <w:rsid w:val="00152DDB"/>
    <w:rsid w:val="00153A6C"/>
    <w:rsid w:val="00154FFD"/>
    <w:rsid w:val="00156B79"/>
    <w:rsid w:val="00156BEA"/>
    <w:rsid w:val="00156DF4"/>
    <w:rsid w:val="001572C8"/>
    <w:rsid w:val="0015787D"/>
    <w:rsid w:val="00157D28"/>
    <w:rsid w:val="00160020"/>
    <w:rsid w:val="00162264"/>
    <w:rsid w:val="0016323D"/>
    <w:rsid w:val="0016365B"/>
    <w:rsid w:val="00163EFB"/>
    <w:rsid w:val="0016480B"/>
    <w:rsid w:val="00164F09"/>
    <w:rsid w:val="0016550E"/>
    <w:rsid w:val="001655ED"/>
    <w:rsid w:val="00166A00"/>
    <w:rsid w:val="0017031E"/>
    <w:rsid w:val="00170406"/>
    <w:rsid w:val="00170A96"/>
    <w:rsid w:val="00171174"/>
    <w:rsid w:val="00171D21"/>
    <w:rsid w:val="0017267D"/>
    <w:rsid w:val="00172D44"/>
    <w:rsid w:val="00174227"/>
    <w:rsid w:val="00174690"/>
    <w:rsid w:val="001748CE"/>
    <w:rsid w:val="00175BFD"/>
    <w:rsid w:val="0017675C"/>
    <w:rsid w:val="00176E44"/>
    <w:rsid w:val="00177626"/>
    <w:rsid w:val="001829AA"/>
    <w:rsid w:val="001852CA"/>
    <w:rsid w:val="00185407"/>
    <w:rsid w:val="0018600E"/>
    <w:rsid w:val="0018628A"/>
    <w:rsid w:val="00186D97"/>
    <w:rsid w:val="0019097C"/>
    <w:rsid w:val="00190AF2"/>
    <w:rsid w:val="001920E6"/>
    <w:rsid w:val="00192A50"/>
    <w:rsid w:val="00192CA6"/>
    <w:rsid w:val="00192D08"/>
    <w:rsid w:val="001938E6"/>
    <w:rsid w:val="00193B99"/>
    <w:rsid w:val="00193DDA"/>
    <w:rsid w:val="00194A57"/>
    <w:rsid w:val="00195CF9"/>
    <w:rsid w:val="00195F76"/>
    <w:rsid w:val="001967E4"/>
    <w:rsid w:val="00196C51"/>
    <w:rsid w:val="00196E77"/>
    <w:rsid w:val="001A23A6"/>
    <w:rsid w:val="001A24E9"/>
    <w:rsid w:val="001A2872"/>
    <w:rsid w:val="001A319E"/>
    <w:rsid w:val="001A340F"/>
    <w:rsid w:val="001A3C24"/>
    <w:rsid w:val="001A4B2F"/>
    <w:rsid w:val="001A6247"/>
    <w:rsid w:val="001A6366"/>
    <w:rsid w:val="001A7024"/>
    <w:rsid w:val="001A7868"/>
    <w:rsid w:val="001A7AA9"/>
    <w:rsid w:val="001B05ED"/>
    <w:rsid w:val="001B1D74"/>
    <w:rsid w:val="001B3132"/>
    <w:rsid w:val="001B3424"/>
    <w:rsid w:val="001B37F4"/>
    <w:rsid w:val="001B3D8C"/>
    <w:rsid w:val="001B5BC9"/>
    <w:rsid w:val="001B6ED5"/>
    <w:rsid w:val="001B716A"/>
    <w:rsid w:val="001B73DE"/>
    <w:rsid w:val="001C025B"/>
    <w:rsid w:val="001C02A2"/>
    <w:rsid w:val="001C0B0A"/>
    <w:rsid w:val="001C159B"/>
    <w:rsid w:val="001C1CF0"/>
    <w:rsid w:val="001C4B04"/>
    <w:rsid w:val="001C5F67"/>
    <w:rsid w:val="001C7274"/>
    <w:rsid w:val="001C74C0"/>
    <w:rsid w:val="001C7E67"/>
    <w:rsid w:val="001D01EC"/>
    <w:rsid w:val="001D0DBD"/>
    <w:rsid w:val="001D0F49"/>
    <w:rsid w:val="001D137D"/>
    <w:rsid w:val="001D3432"/>
    <w:rsid w:val="001D3444"/>
    <w:rsid w:val="001D34F2"/>
    <w:rsid w:val="001D3CB3"/>
    <w:rsid w:val="001D4459"/>
    <w:rsid w:val="001D44FB"/>
    <w:rsid w:val="001D4825"/>
    <w:rsid w:val="001E1995"/>
    <w:rsid w:val="001E3346"/>
    <w:rsid w:val="001E35E0"/>
    <w:rsid w:val="001E44B0"/>
    <w:rsid w:val="001E5E5E"/>
    <w:rsid w:val="001E6617"/>
    <w:rsid w:val="001E6D5B"/>
    <w:rsid w:val="001E7FA5"/>
    <w:rsid w:val="001F00E8"/>
    <w:rsid w:val="001F0F1B"/>
    <w:rsid w:val="001F23F4"/>
    <w:rsid w:val="001F244A"/>
    <w:rsid w:val="001F2FF5"/>
    <w:rsid w:val="001F304C"/>
    <w:rsid w:val="001F30C2"/>
    <w:rsid w:val="001F4865"/>
    <w:rsid w:val="001F4D11"/>
    <w:rsid w:val="001F500D"/>
    <w:rsid w:val="001F5E63"/>
    <w:rsid w:val="001F6719"/>
    <w:rsid w:val="001F6A11"/>
    <w:rsid w:val="001F6ACA"/>
    <w:rsid w:val="001F7C1F"/>
    <w:rsid w:val="001F7C4C"/>
    <w:rsid w:val="0020111C"/>
    <w:rsid w:val="0020117A"/>
    <w:rsid w:val="00202925"/>
    <w:rsid w:val="00202FA9"/>
    <w:rsid w:val="002036FA"/>
    <w:rsid w:val="00206202"/>
    <w:rsid w:val="00206604"/>
    <w:rsid w:val="00206FEC"/>
    <w:rsid w:val="002071B2"/>
    <w:rsid w:val="0021078F"/>
    <w:rsid w:val="002108B2"/>
    <w:rsid w:val="00210F16"/>
    <w:rsid w:val="002115CF"/>
    <w:rsid w:val="0021172B"/>
    <w:rsid w:val="00213314"/>
    <w:rsid w:val="00215049"/>
    <w:rsid w:val="0021567C"/>
    <w:rsid w:val="00215A95"/>
    <w:rsid w:val="00215ABF"/>
    <w:rsid w:val="00215EC9"/>
    <w:rsid w:val="0021636F"/>
    <w:rsid w:val="002164F8"/>
    <w:rsid w:val="00217C32"/>
    <w:rsid w:val="00217ECB"/>
    <w:rsid w:val="002207EA"/>
    <w:rsid w:val="00221B10"/>
    <w:rsid w:val="0022213F"/>
    <w:rsid w:val="002221C2"/>
    <w:rsid w:val="002238F3"/>
    <w:rsid w:val="00226312"/>
    <w:rsid w:val="00226384"/>
    <w:rsid w:val="0022688C"/>
    <w:rsid w:val="00226BB1"/>
    <w:rsid w:val="00230336"/>
    <w:rsid w:val="00230C18"/>
    <w:rsid w:val="00232B9C"/>
    <w:rsid w:val="00232F7A"/>
    <w:rsid w:val="00233F15"/>
    <w:rsid w:val="00234C55"/>
    <w:rsid w:val="00234F92"/>
    <w:rsid w:val="0023533E"/>
    <w:rsid w:val="00236BA9"/>
    <w:rsid w:val="0024096E"/>
    <w:rsid w:val="00241950"/>
    <w:rsid w:val="00243F80"/>
    <w:rsid w:val="00244102"/>
    <w:rsid w:val="0024661D"/>
    <w:rsid w:val="00250FCB"/>
    <w:rsid w:val="00251797"/>
    <w:rsid w:val="00251C39"/>
    <w:rsid w:val="00253837"/>
    <w:rsid w:val="00253CAF"/>
    <w:rsid w:val="002542A4"/>
    <w:rsid w:val="002549D4"/>
    <w:rsid w:val="00254A3B"/>
    <w:rsid w:val="002617E4"/>
    <w:rsid w:val="00261DD1"/>
    <w:rsid w:val="00262AFD"/>
    <w:rsid w:val="002640C6"/>
    <w:rsid w:val="00265739"/>
    <w:rsid w:val="00265978"/>
    <w:rsid w:val="002661BE"/>
    <w:rsid w:val="00266C2A"/>
    <w:rsid w:val="00266C7B"/>
    <w:rsid w:val="00267AC1"/>
    <w:rsid w:val="0027105F"/>
    <w:rsid w:val="00271154"/>
    <w:rsid w:val="002719E4"/>
    <w:rsid w:val="00272266"/>
    <w:rsid w:val="0027259A"/>
    <w:rsid w:val="0027304C"/>
    <w:rsid w:val="00273FCF"/>
    <w:rsid w:val="0027564C"/>
    <w:rsid w:val="002758E8"/>
    <w:rsid w:val="00276C56"/>
    <w:rsid w:val="0027729C"/>
    <w:rsid w:val="00281029"/>
    <w:rsid w:val="002829A8"/>
    <w:rsid w:val="00282B13"/>
    <w:rsid w:val="002830A4"/>
    <w:rsid w:val="002833B3"/>
    <w:rsid w:val="002837F4"/>
    <w:rsid w:val="00283DA2"/>
    <w:rsid w:val="00284579"/>
    <w:rsid w:val="00284F52"/>
    <w:rsid w:val="0028566C"/>
    <w:rsid w:val="0028740C"/>
    <w:rsid w:val="00290698"/>
    <w:rsid w:val="00290A72"/>
    <w:rsid w:val="00291D8C"/>
    <w:rsid w:val="0029264C"/>
    <w:rsid w:val="002929D5"/>
    <w:rsid w:val="002938C6"/>
    <w:rsid w:val="00294C12"/>
    <w:rsid w:val="00294F23"/>
    <w:rsid w:val="00295450"/>
    <w:rsid w:val="002965D8"/>
    <w:rsid w:val="00296A4B"/>
    <w:rsid w:val="00296D6A"/>
    <w:rsid w:val="00297788"/>
    <w:rsid w:val="002A0004"/>
    <w:rsid w:val="002A00AB"/>
    <w:rsid w:val="002A04D2"/>
    <w:rsid w:val="002A06DE"/>
    <w:rsid w:val="002A0FE2"/>
    <w:rsid w:val="002A1373"/>
    <w:rsid w:val="002A13DA"/>
    <w:rsid w:val="002A1A6F"/>
    <w:rsid w:val="002A1E61"/>
    <w:rsid w:val="002A270D"/>
    <w:rsid w:val="002A2847"/>
    <w:rsid w:val="002A2F1E"/>
    <w:rsid w:val="002A340E"/>
    <w:rsid w:val="002A345A"/>
    <w:rsid w:val="002A494E"/>
    <w:rsid w:val="002A6FE7"/>
    <w:rsid w:val="002A7872"/>
    <w:rsid w:val="002A7AC4"/>
    <w:rsid w:val="002B1C9F"/>
    <w:rsid w:val="002B1E51"/>
    <w:rsid w:val="002B3E51"/>
    <w:rsid w:val="002B560E"/>
    <w:rsid w:val="002B7421"/>
    <w:rsid w:val="002C0DE1"/>
    <w:rsid w:val="002C1029"/>
    <w:rsid w:val="002C1550"/>
    <w:rsid w:val="002C17EF"/>
    <w:rsid w:val="002C22F0"/>
    <w:rsid w:val="002C2C57"/>
    <w:rsid w:val="002C2D97"/>
    <w:rsid w:val="002C3C2C"/>
    <w:rsid w:val="002C5B6A"/>
    <w:rsid w:val="002D004A"/>
    <w:rsid w:val="002D18AA"/>
    <w:rsid w:val="002D2B4F"/>
    <w:rsid w:val="002D2C91"/>
    <w:rsid w:val="002D2D32"/>
    <w:rsid w:val="002D34F1"/>
    <w:rsid w:val="002D3909"/>
    <w:rsid w:val="002D3B7F"/>
    <w:rsid w:val="002D5DC7"/>
    <w:rsid w:val="002D5F40"/>
    <w:rsid w:val="002D70B7"/>
    <w:rsid w:val="002D7DC2"/>
    <w:rsid w:val="002D7FFD"/>
    <w:rsid w:val="002E2DA0"/>
    <w:rsid w:val="002E408D"/>
    <w:rsid w:val="002E4749"/>
    <w:rsid w:val="002E5839"/>
    <w:rsid w:val="002E70E5"/>
    <w:rsid w:val="002E7310"/>
    <w:rsid w:val="002E7A31"/>
    <w:rsid w:val="002F040F"/>
    <w:rsid w:val="002F1CAB"/>
    <w:rsid w:val="002F23E2"/>
    <w:rsid w:val="002F4AFD"/>
    <w:rsid w:val="002F6FC3"/>
    <w:rsid w:val="002F733A"/>
    <w:rsid w:val="002F7E57"/>
    <w:rsid w:val="003001BA"/>
    <w:rsid w:val="00301480"/>
    <w:rsid w:val="0030160A"/>
    <w:rsid w:val="0030162B"/>
    <w:rsid w:val="0030320B"/>
    <w:rsid w:val="003037F9"/>
    <w:rsid w:val="003040AC"/>
    <w:rsid w:val="003057B9"/>
    <w:rsid w:val="00305C03"/>
    <w:rsid w:val="003063CD"/>
    <w:rsid w:val="00306B84"/>
    <w:rsid w:val="0030725A"/>
    <w:rsid w:val="00307321"/>
    <w:rsid w:val="00310748"/>
    <w:rsid w:val="003113FE"/>
    <w:rsid w:val="003129EF"/>
    <w:rsid w:val="00313862"/>
    <w:rsid w:val="00313AB4"/>
    <w:rsid w:val="003152AE"/>
    <w:rsid w:val="00316E70"/>
    <w:rsid w:val="0031750A"/>
    <w:rsid w:val="00320F40"/>
    <w:rsid w:val="0032147D"/>
    <w:rsid w:val="0032157B"/>
    <w:rsid w:val="003227DC"/>
    <w:rsid w:val="00323029"/>
    <w:rsid w:val="00323CD2"/>
    <w:rsid w:val="00326E41"/>
    <w:rsid w:val="00330007"/>
    <w:rsid w:val="003305E1"/>
    <w:rsid w:val="00330BA5"/>
    <w:rsid w:val="0033188C"/>
    <w:rsid w:val="00331D89"/>
    <w:rsid w:val="003320BC"/>
    <w:rsid w:val="00332982"/>
    <w:rsid w:val="00334AB9"/>
    <w:rsid w:val="00334E93"/>
    <w:rsid w:val="003351B6"/>
    <w:rsid w:val="003351F6"/>
    <w:rsid w:val="00335A4D"/>
    <w:rsid w:val="00336109"/>
    <w:rsid w:val="003363A4"/>
    <w:rsid w:val="003370F1"/>
    <w:rsid w:val="0033763A"/>
    <w:rsid w:val="00337B2C"/>
    <w:rsid w:val="00337C0D"/>
    <w:rsid w:val="00337DB9"/>
    <w:rsid w:val="003404CB"/>
    <w:rsid w:val="00341DEF"/>
    <w:rsid w:val="00342453"/>
    <w:rsid w:val="0034252B"/>
    <w:rsid w:val="00343B3B"/>
    <w:rsid w:val="00344C2C"/>
    <w:rsid w:val="003451D6"/>
    <w:rsid w:val="003453A8"/>
    <w:rsid w:val="003456C7"/>
    <w:rsid w:val="00346CB4"/>
    <w:rsid w:val="00346D4B"/>
    <w:rsid w:val="003473CD"/>
    <w:rsid w:val="0034756A"/>
    <w:rsid w:val="00347E80"/>
    <w:rsid w:val="00352695"/>
    <w:rsid w:val="003544DE"/>
    <w:rsid w:val="0035534D"/>
    <w:rsid w:val="003568EF"/>
    <w:rsid w:val="00360991"/>
    <w:rsid w:val="00360F76"/>
    <w:rsid w:val="003631E6"/>
    <w:rsid w:val="003632B6"/>
    <w:rsid w:val="00364226"/>
    <w:rsid w:val="00364E83"/>
    <w:rsid w:val="00365BE8"/>
    <w:rsid w:val="0036649B"/>
    <w:rsid w:val="003675C4"/>
    <w:rsid w:val="00367B35"/>
    <w:rsid w:val="00370FF7"/>
    <w:rsid w:val="00371F8C"/>
    <w:rsid w:val="003725E6"/>
    <w:rsid w:val="003726F7"/>
    <w:rsid w:val="003735B2"/>
    <w:rsid w:val="0037377A"/>
    <w:rsid w:val="00373982"/>
    <w:rsid w:val="00373EB2"/>
    <w:rsid w:val="00374048"/>
    <w:rsid w:val="003755BD"/>
    <w:rsid w:val="00375DE7"/>
    <w:rsid w:val="003762FA"/>
    <w:rsid w:val="00376C6C"/>
    <w:rsid w:val="00380993"/>
    <w:rsid w:val="00381C15"/>
    <w:rsid w:val="00385A6B"/>
    <w:rsid w:val="00385EA3"/>
    <w:rsid w:val="00387D69"/>
    <w:rsid w:val="00390696"/>
    <w:rsid w:val="00391AA1"/>
    <w:rsid w:val="00392B0C"/>
    <w:rsid w:val="00392E1B"/>
    <w:rsid w:val="003931C3"/>
    <w:rsid w:val="00394CAC"/>
    <w:rsid w:val="00394E47"/>
    <w:rsid w:val="00396224"/>
    <w:rsid w:val="003964D2"/>
    <w:rsid w:val="00396AE0"/>
    <w:rsid w:val="00397B57"/>
    <w:rsid w:val="00397E88"/>
    <w:rsid w:val="003A03B7"/>
    <w:rsid w:val="003A0735"/>
    <w:rsid w:val="003A1363"/>
    <w:rsid w:val="003A21BA"/>
    <w:rsid w:val="003A24DD"/>
    <w:rsid w:val="003A4AA9"/>
    <w:rsid w:val="003A4FCA"/>
    <w:rsid w:val="003A5779"/>
    <w:rsid w:val="003A612E"/>
    <w:rsid w:val="003A6B24"/>
    <w:rsid w:val="003A7AE1"/>
    <w:rsid w:val="003B0727"/>
    <w:rsid w:val="003B0848"/>
    <w:rsid w:val="003B2576"/>
    <w:rsid w:val="003B2C85"/>
    <w:rsid w:val="003B2F80"/>
    <w:rsid w:val="003B4419"/>
    <w:rsid w:val="003B454F"/>
    <w:rsid w:val="003B7643"/>
    <w:rsid w:val="003C10B2"/>
    <w:rsid w:val="003C1A13"/>
    <w:rsid w:val="003C387B"/>
    <w:rsid w:val="003C4251"/>
    <w:rsid w:val="003C4417"/>
    <w:rsid w:val="003C6547"/>
    <w:rsid w:val="003C6E65"/>
    <w:rsid w:val="003C77BA"/>
    <w:rsid w:val="003C7D06"/>
    <w:rsid w:val="003D015E"/>
    <w:rsid w:val="003D0855"/>
    <w:rsid w:val="003D12E6"/>
    <w:rsid w:val="003D1793"/>
    <w:rsid w:val="003D1EFB"/>
    <w:rsid w:val="003D2270"/>
    <w:rsid w:val="003D27F1"/>
    <w:rsid w:val="003D3130"/>
    <w:rsid w:val="003D3884"/>
    <w:rsid w:val="003D3EAD"/>
    <w:rsid w:val="003D47CB"/>
    <w:rsid w:val="003D5A8A"/>
    <w:rsid w:val="003D7AC4"/>
    <w:rsid w:val="003D7BF3"/>
    <w:rsid w:val="003D7DB9"/>
    <w:rsid w:val="003E1D43"/>
    <w:rsid w:val="003E1DA7"/>
    <w:rsid w:val="003E308C"/>
    <w:rsid w:val="003E5019"/>
    <w:rsid w:val="003E5834"/>
    <w:rsid w:val="003E5F19"/>
    <w:rsid w:val="003E6875"/>
    <w:rsid w:val="003E743F"/>
    <w:rsid w:val="003F000F"/>
    <w:rsid w:val="003F230E"/>
    <w:rsid w:val="003F338C"/>
    <w:rsid w:val="003F342B"/>
    <w:rsid w:val="003F4A2F"/>
    <w:rsid w:val="003F5327"/>
    <w:rsid w:val="003F5C4A"/>
    <w:rsid w:val="003F60B9"/>
    <w:rsid w:val="003F6477"/>
    <w:rsid w:val="003F72D6"/>
    <w:rsid w:val="00400009"/>
    <w:rsid w:val="00400994"/>
    <w:rsid w:val="004009FB"/>
    <w:rsid w:val="00403752"/>
    <w:rsid w:val="00403F69"/>
    <w:rsid w:val="00404E77"/>
    <w:rsid w:val="004051BF"/>
    <w:rsid w:val="00405853"/>
    <w:rsid w:val="0040736E"/>
    <w:rsid w:val="0040738C"/>
    <w:rsid w:val="004073F9"/>
    <w:rsid w:val="004075F2"/>
    <w:rsid w:val="004076D0"/>
    <w:rsid w:val="00407CC3"/>
    <w:rsid w:val="00410FEE"/>
    <w:rsid w:val="00413DD1"/>
    <w:rsid w:val="00414691"/>
    <w:rsid w:val="004153BF"/>
    <w:rsid w:val="00415D10"/>
    <w:rsid w:val="00415E8C"/>
    <w:rsid w:val="0041776E"/>
    <w:rsid w:val="00420294"/>
    <w:rsid w:val="004207CC"/>
    <w:rsid w:val="00423148"/>
    <w:rsid w:val="004238B7"/>
    <w:rsid w:val="00423CF9"/>
    <w:rsid w:val="0042457C"/>
    <w:rsid w:val="00424BC2"/>
    <w:rsid w:val="0042519F"/>
    <w:rsid w:val="0042598D"/>
    <w:rsid w:val="0042720C"/>
    <w:rsid w:val="00427EE9"/>
    <w:rsid w:val="0043036F"/>
    <w:rsid w:val="00430BD6"/>
    <w:rsid w:val="00430D4B"/>
    <w:rsid w:val="0043248B"/>
    <w:rsid w:val="004330F1"/>
    <w:rsid w:val="0043334E"/>
    <w:rsid w:val="00433554"/>
    <w:rsid w:val="00433A91"/>
    <w:rsid w:val="00434B49"/>
    <w:rsid w:val="004370AF"/>
    <w:rsid w:val="004370B0"/>
    <w:rsid w:val="004375D9"/>
    <w:rsid w:val="00437EBA"/>
    <w:rsid w:val="00440B24"/>
    <w:rsid w:val="00441ED3"/>
    <w:rsid w:val="00441FA7"/>
    <w:rsid w:val="00441FF6"/>
    <w:rsid w:val="00442510"/>
    <w:rsid w:val="004427E4"/>
    <w:rsid w:val="00442D31"/>
    <w:rsid w:val="004443E3"/>
    <w:rsid w:val="004449B1"/>
    <w:rsid w:val="004449F1"/>
    <w:rsid w:val="00445FD2"/>
    <w:rsid w:val="0044745C"/>
    <w:rsid w:val="00447A3F"/>
    <w:rsid w:val="00450189"/>
    <w:rsid w:val="00452225"/>
    <w:rsid w:val="0045357C"/>
    <w:rsid w:val="004550C5"/>
    <w:rsid w:val="00455F73"/>
    <w:rsid w:val="0045679D"/>
    <w:rsid w:val="0046183A"/>
    <w:rsid w:val="0046197A"/>
    <w:rsid w:val="0046229C"/>
    <w:rsid w:val="00462FDD"/>
    <w:rsid w:val="00463B9A"/>
    <w:rsid w:val="00463D79"/>
    <w:rsid w:val="004645A6"/>
    <w:rsid w:val="004674C4"/>
    <w:rsid w:val="0046778E"/>
    <w:rsid w:val="00467DCD"/>
    <w:rsid w:val="0047083C"/>
    <w:rsid w:val="00471236"/>
    <w:rsid w:val="004713E8"/>
    <w:rsid w:val="00471701"/>
    <w:rsid w:val="00471A63"/>
    <w:rsid w:val="004721A8"/>
    <w:rsid w:val="00473BE6"/>
    <w:rsid w:val="004743BB"/>
    <w:rsid w:val="00474E94"/>
    <w:rsid w:val="004752E3"/>
    <w:rsid w:val="00476E18"/>
    <w:rsid w:val="004775A0"/>
    <w:rsid w:val="00477A22"/>
    <w:rsid w:val="00477EBB"/>
    <w:rsid w:val="004812B7"/>
    <w:rsid w:val="004819A8"/>
    <w:rsid w:val="00481D4B"/>
    <w:rsid w:val="00483704"/>
    <w:rsid w:val="004848A0"/>
    <w:rsid w:val="00484BAC"/>
    <w:rsid w:val="00486804"/>
    <w:rsid w:val="00487290"/>
    <w:rsid w:val="004912C7"/>
    <w:rsid w:val="004932FA"/>
    <w:rsid w:val="004935F6"/>
    <w:rsid w:val="004936C6"/>
    <w:rsid w:val="00493C6D"/>
    <w:rsid w:val="00493DE1"/>
    <w:rsid w:val="004945B0"/>
    <w:rsid w:val="00494AF3"/>
    <w:rsid w:val="00494EF9"/>
    <w:rsid w:val="004A033B"/>
    <w:rsid w:val="004A1968"/>
    <w:rsid w:val="004A1B9F"/>
    <w:rsid w:val="004A3DAB"/>
    <w:rsid w:val="004A53F9"/>
    <w:rsid w:val="004A59E7"/>
    <w:rsid w:val="004A61A7"/>
    <w:rsid w:val="004A67DF"/>
    <w:rsid w:val="004A6C4C"/>
    <w:rsid w:val="004A73A7"/>
    <w:rsid w:val="004A77E4"/>
    <w:rsid w:val="004B0A2C"/>
    <w:rsid w:val="004B0B51"/>
    <w:rsid w:val="004B0DA9"/>
    <w:rsid w:val="004B0EA5"/>
    <w:rsid w:val="004B1D8C"/>
    <w:rsid w:val="004B1DE7"/>
    <w:rsid w:val="004B2626"/>
    <w:rsid w:val="004B33A8"/>
    <w:rsid w:val="004B3C15"/>
    <w:rsid w:val="004B3E45"/>
    <w:rsid w:val="004B450F"/>
    <w:rsid w:val="004B4BB5"/>
    <w:rsid w:val="004B633A"/>
    <w:rsid w:val="004B76FF"/>
    <w:rsid w:val="004C15BE"/>
    <w:rsid w:val="004C23A7"/>
    <w:rsid w:val="004C29FF"/>
    <w:rsid w:val="004C44BE"/>
    <w:rsid w:val="004C463A"/>
    <w:rsid w:val="004C5FF2"/>
    <w:rsid w:val="004C7FC9"/>
    <w:rsid w:val="004D027E"/>
    <w:rsid w:val="004D06F6"/>
    <w:rsid w:val="004D1465"/>
    <w:rsid w:val="004D1AD6"/>
    <w:rsid w:val="004D2336"/>
    <w:rsid w:val="004D3195"/>
    <w:rsid w:val="004D366C"/>
    <w:rsid w:val="004D3E6E"/>
    <w:rsid w:val="004D5391"/>
    <w:rsid w:val="004D5745"/>
    <w:rsid w:val="004D5E54"/>
    <w:rsid w:val="004D701F"/>
    <w:rsid w:val="004D7331"/>
    <w:rsid w:val="004E0D0D"/>
    <w:rsid w:val="004E121E"/>
    <w:rsid w:val="004E14E9"/>
    <w:rsid w:val="004E1D08"/>
    <w:rsid w:val="004E2CBA"/>
    <w:rsid w:val="004E3DAA"/>
    <w:rsid w:val="004E465E"/>
    <w:rsid w:val="004E5857"/>
    <w:rsid w:val="004E6088"/>
    <w:rsid w:val="004E6B44"/>
    <w:rsid w:val="004E6E13"/>
    <w:rsid w:val="004F00BB"/>
    <w:rsid w:val="004F4467"/>
    <w:rsid w:val="004F6020"/>
    <w:rsid w:val="004F6B9D"/>
    <w:rsid w:val="004F7B19"/>
    <w:rsid w:val="004F7BE3"/>
    <w:rsid w:val="004F7E56"/>
    <w:rsid w:val="004F7EE1"/>
    <w:rsid w:val="00502E3E"/>
    <w:rsid w:val="005056F2"/>
    <w:rsid w:val="005057F2"/>
    <w:rsid w:val="005067C7"/>
    <w:rsid w:val="00506983"/>
    <w:rsid w:val="0051007D"/>
    <w:rsid w:val="00510BCF"/>
    <w:rsid w:val="00512224"/>
    <w:rsid w:val="00512D91"/>
    <w:rsid w:val="00512F11"/>
    <w:rsid w:val="0051335B"/>
    <w:rsid w:val="00513923"/>
    <w:rsid w:val="0051492B"/>
    <w:rsid w:val="00515AD7"/>
    <w:rsid w:val="00516E0A"/>
    <w:rsid w:val="00517F57"/>
    <w:rsid w:val="005200DC"/>
    <w:rsid w:val="005209AC"/>
    <w:rsid w:val="00520A1D"/>
    <w:rsid w:val="00520E99"/>
    <w:rsid w:val="0052105B"/>
    <w:rsid w:val="0052145B"/>
    <w:rsid w:val="00521BD6"/>
    <w:rsid w:val="00522D6F"/>
    <w:rsid w:val="005261FC"/>
    <w:rsid w:val="00526BBC"/>
    <w:rsid w:val="005270E4"/>
    <w:rsid w:val="00527F93"/>
    <w:rsid w:val="0053160C"/>
    <w:rsid w:val="00531780"/>
    <w:rsid w:val="005317EE"/>
    <w:rsid w:val="00531D1D"/>
    <w:rsid w:val="00532875"/>
    <w:rsid w:val="00532E56"/>
    <w:rsid w:val="005337B2"/>
    <w:rsid w:val="00534503"/>
    <w:rsid w:val="00534D88"/>
    <w:rsid w:val="00535A61"/>
    <w:rsid w:val="00535B88"/>
    <w:rsid w:val="00535DC1"/>
    <w:rsid w:val="00535F4B"/>
    <w:rsid w:val="0053665F"/>
    <w:rsid w:val="00536E05"/>
    <w:rsid w:val="0053716D"/>
    <w:rsid w:val="00537E93"/>
    <w:rsid w:val="00537F1E"/>
    <w:rsid w:val="005400F9"/>
    <w:rsid w:val="005418F9"/>
    <w:rsid w:val="00541A58"/>
    <w:rsid w:val="00541C17"/>
    <w:rsid w:val="00543224"/>
    <w:rsid w:val="00544997"/>
    <w:rsid w:val="00546034"/>
    <w:rsid w:val="005465B8"/>
    <w:rsid w:val="00546ADC"/>
    <w:rsid w:val="00551645"/>
    <w:rsid w:val="00552435"/>
    <w:rsid w:val="005537BF"/>
    <w:rsid w:val="00554507"/>
    <w:rsid w:val="005545B6"/>
    <w:rsid w:val="00554646"/>
    <w:rsid w:val="005566EA"/>
    <w:rsid w:val="00557F02"/>
    <w:rsid w:val="00560A8A"/>
    <w:rsid w:val="005620F0"/>
    <w:rsid w:val="00563D1A"/>
    <w:rsid w:val="00564708"/>
    <w:rsid w:val="00565830"/>
    <w:rsid w:val="0056586A"/>
    <w:rsid w:val="00565DC9"/>
    <w:rsid w:val="00566B45"/>
    <w:rsid w:val="00571AF4"/>
    <w:rsid w:val="00572A33"/>
    <w:rsid w:val="005731F0"/>
    <w:rsid w:val="005733E0"/>
    <w:rsid w:val="00574506"/>
    <w:rsid w:val="00574674"/>
    <w:rsid w:val="00575AEF"/>
    <w:rsid w:val="00576541"/>
    <w:rsid w:val="00577A06"/>
    <w:rsid w:val="00580703"/>
    <w:rsid w:val="005808E5"/>
    <w:rsid w:val="005821EA"/>
    <w:rsid w:val="00583157"/>
    <w:rsid w:val="0058323E"/>
    <w:rsid w:val="00583282"/>
    <w:rsid w:val="00584D23"/>
    <w:rsid w:val="00590481"/>
    <w:rsid w:val="00590DA7"/>
    <w:rsid w:val="00591309"/>
    <w:rsid w:val="00591580"/>
    <w:rsid w:val="00592649"/>
    <w:rsid w:val="005926AE"/>
    <w:rsid w:val="005938E3"/>
    <w:rsid w:val="00593B02"/>
    <w:rsid w:val="0059419F"/>
    <w:rsid w:val="005948A1"/>
    <w:rsid w:val="005954FE"/>
    <w:rsid w:val="00595D7B"/>
    <w:rsid w:val="005966DE"/>
    <w:rsid w:val="0059684D"/>
    <w:rsid w:val="00596FE4"/>
    <w:rsid w:val="005975A1"/>
    <w:rsid w:val="00597658"/>
    <w:rsid w:val="0059774E"/>
    <w:rsid w:val="00597E43"/>
    <w:rsid w:val="005A0CF9"/>
    <w:rsid w:val="005A15E6"/>
    <w:rsid w:val="005A206D"/>
    <w:rsid w:val="005A25A8"/>
    <w:rsid w:val="005A4674"/>
    <w:rsid w:val="005A6132"/>
    <w:rsid w:val="005A65AB"/>
    <w:rsid w:val="005B00B3"/>
    <w:rsid w:val="005B0629"/>
    <w:rsid w:val="005B0F3E"/>
    <w:rsid w:val="005B10D4"/>
    <w:rsid w:val="005B2031"/>
    <w:rsid w:val="005B2049"/>
    <w:rsid w:val="005B3278"/>
    <w:rsid w:val="005B3BC6"/>
    <w:rsid w:val="005B3D05"/>
    <w:rsid w:val="005B45B4"/>
    <w:rsid w:val="005B4A0E"/>
    <w:rsid w:val="005B4A4C"/>
    <w:rsid w:val="005B5D78"/>
    <w:rsid w:val="005C14F5"/>
    <w:rsid w:val="005C2E25"/>
    <w:rsid w:val="005C3F07"/>
    <w:rsid w:val="005C416F"/>
    <w:rsid w:val="005C4C29"/>
    <w:rsid w:val="005C681C"/>
    <w:rsid w:val="005C6979"/>
    <w:rsid w:val="005C6FF9"/>
    <w:rsid w:val="005C7537"/>
    <w:rsid w:val="005C7755"/>
    <w:rsid w:val="005D0B27"/>
    <w:rsid w:val="005D109B"/>
    <w:rsid w:val="005D21E1"/>
    <w:rsid w:val="005D233F"/>
    <w:rsid w:val="005D3890"/>
    <w:rsid w:val="005D38B4"/>
    <w:rsid w:val="005D3A3D"/>
    <w:rsid w:val="005D4478"/>
    <w:rsid w:val="005D59D2"/>
    <w:rsid w:val="005E0485"/>
    <w:rsid w:val="005E0845"/>
    <w:rsid w:val="005E13D0"/>
    <w:rsid w:val="005E294F"/>
    <w:rsid w:val="005E3EA9"/>
    <w:rsid w:val="005E4985"/>
    <w:rsid w:val="005E4DFB"/>
    <w:rsid w:val="005E4F7B"/>
    <w:rsid w:val="005E57AC"/>
    <w:rsid w:val="005E6A95"/>
    <w:rsid w:val="005E7221"/>
    <w:rsid w:val="005E79CF"/>
    <w:rsid w:val="005E7BD4"/>
    <w:rsid w:val="005E7E6F"/>
    <w:rsid w:val="005F0154"/>
    <w:rsid w:val="005F1375"/>
    <w:rsid w:val="005F2ECB"/>
    <w:rsid w:val="005F33F6"/>
    <w:rsid w:val="005F4368"/>
    <w:rsid w:val="005F44F2"/>
    <w:rsid w:val="005F54B4"/>
    <w:rsid w:val="005F5A54"/>
    <w:rsid w:val="005F5C21"/>
    <w:rsid w:val="005F62A0"/>
    <w:rsid w:val="00600016"/>
    <w:rsid w:val="00600275"/>
    <w:rsid w:val="006009C1"/>
    <w:rsid w:val="00602355"/>
    <w:rsid w:val="0060259A"/>
    <w:rsid w:val="00603DD1"/>
    <w:rsid w:val="006043AA"/>
    <w:rsid w:val="00604D7F"/>
    <w:rsid w:val="00605BE9"/>
    <w:rsid w:val="00605E5B"/>
    <w:rsid w:val="006062AC"/>
    <w:rsid w:val="006104D1"/>
    <w:rsid w:val="0061124C"/>
    <w:rsid w:val="00611949"/>
    <w:rsid w:val="006121FD"/>
    <w:rsid w:val="00612B55"/>
    <w:rsid w:val="00614A5A"/>
    <w:rsid w:val="00615CDE"/>
    <w:rsid w:val="006163F5"/>
    <w:rsid w:val="006169DD"/>
    <w:rsid w:val="00616C77"/>
    <w:rsid w:val="00616C82"/>
    <w:rsid w:val="00620FDA"/>
    <w:rsid w:val="00622142"/>
    <w:rsid w:val="00623195"/>
    <w:rsid w:val="00623F04"/>
    <w:rsid w:val="00625152"/>
    <w:rsid w:val="0062562D"/>
    <w:rsid w:val="0062775B"/>
    <w:rsid w:val="00630D69"/>
    <w:rsid w:val="00630F09"/>
    <w:rsid w:val="00631B56"/>
    <w:rsid w:val="006321BC"/>
    <w:rsid w:val="006322D7"/>
    <w:rsid w:val="00632D0F"/>
    <w:rsid w:val="00633D32"/>
    <w:rsid w:val="00633F48"/>
    <w:rsid w:val="00635944"/>
    <w:rsid w:val="00635FEC"/>
    <w:rsid w:val="0063632B"/>
    <w:rsid w:val="006364F5"/>
    <w:rsid w:val="006375BE"/>
    <w:rsid w:val="00637DD4"/>
    <w:rsid w:val="0064084E"/>
    <w:rsid w:val="00640B0B"/>
    <w:rsid w:val="00640E81"/>
    <w:rsid w:val="006432DF"/>
    <w:rsid w:val="0064399C"/>
    <w:rsid w:val="00643A78"/>
    <w:rsid w:val="00644582"/>
    <w:rsid w:val="00644CC2"/>
    <w:rsid w:val="00644ED7"/>
    <w:rsid w:val="00645A1D"/>
    <w:rsid w:val="006467B2"/>
    <w:rsid w:val="00646A08"/>
    <w:rsid w:val="006474B5"/>
    <w:rsid w:val="00650A58"/>
    <w:rsid w:val="00650B7B"/>
    <w:rsid w:val="00652082"/>
    <w:rsid w:val="00653474"/>
    <w:rsid w:val="00653589"/>
    <w:rsid w:val="00653680"/>
    <w:rsid w:val="00656AEA"/>
    <w:rsid w:val="0066019D"/>
    <w:rsid w:val="00660CC2"/>
    <w:rsid w:val="006613A0"/>
    <w:rsid w:val="00661A5F"/>
    <w:rsid w:val="00664036"/>
    <w:rsid w:val="00665E73"/>
    <w:rsid w:val="006717F4"/>
    <w:rsid w:val="006719C2"/>
    <w:rsid w:val="00671AC6"/>
    <w:rsid w:val="00671E76"/>
    <w:rsid w:val="006770D1"/>
    <w:rsid w:val="006772D3"/>
    <w:rsid w:val="006775AF"/>
    <w:rsid w:val="00680528"/>
    <w:rsid w:val="00682DD8"/>
    <w:rsid w:val="006832AF"/>
    <w:rsid w:val="00683DE0"/>
    <w:rsid w:val="00684E40"/>
    <w:rsid w:val="00684EBA"/>
    <w:rsid w:val="00685E5F"/>
    <w:rsid w:val="00685F4F"/>
    <w:rsid w:val="00686F5F"/>
    <w:rsid w:val="006873EC"/>
    <w:rsid w:val="006875C5"/>
    <w:rsid w:val="00687C21"/>
    <w:rsid w:val="00690A85"/>
    <w:rsid w:val="00691113"/>
    <w:rsid w:val="00691936"/>
    <w:rsid w:val="00691DE1"/>
    <w:rsid w:val="00692B4D"/>
    <w:rsid w:val="0069310E"/>
    <w:rsid w:val="00695120"/>
    <w:rsid w:val="00696486"/>
    <w:rsid w:val="00696F17"/>
    <w:rsid w:val="00697D72"/>
    <w:rsid w:val="006A0559"/>
    <w:rsid w:val="006A05E4"/>
    <w:rsid w:val="006A0A32"/>
    <w:rsid w:val="006A1D6A"/>
    <w:rsid w:val="006A213E"/>
    <w:rsid w:val="006A3BEC"/>
    <w:rsid w:val="006A3F45"/>
    <w:rsid w:val="006A40C9"/>
    <w:rsid w:val="006A4A4D"/>
    <w:rsid w:val="006A4D53"/>
    <w:rsid w:val="006A52D6"/>
    <w:rsid w:val="006A616A"/>
    <w:rsid w:val="006A69FB"/>
    <w:rsid w:val="006A732C"/>
    <w:rsid w:val="006A7366"/>
    <w:rsid w:val="006B0C85"/>
    <w:rsid w:val="006B0F00"/>
    <w:rsid w:val="006B26DB"/>
    <w:rsid w:val="006B2DE1"/>
    <w:rsid w:val="006B4FA3"/>
    <w:rsid w:val="006B51CE"/>
    <w:rsid w:val="006B56A8"/>
    <w:rsid w:val="006B5CBA"/>
    <w:rsid w:val="006B71F9"/>
    <w:rsid w:val="006B7874"/>
    <w:rsid w:val="006B7A7D"/>
    <w:rsid w:val="006C0044"/>
    <w:rsid w:val="006C1048"/>
    <w:rsid w:val="006C3060"/>
    <w:rsid w:val="006C32E3"/>
    <w:rsid w:val="006C46E4"/>
    <w:rsid w:val="006C5DAA"/>
    <w:rsid w:val="006C6220"/>
    <w:rsid w:val="006C665E"/>
    <w:rsid w:val="006C6F2E"/>
    <w:rsid w:val="006C7A0E"/>
    <w:rsid w:val="006D00BD"/>
    <w:rsid w:val="006D03C8"/>
    <w:rsid w:val="006D054E"/>
    <w:rsid w:val="006D0805"/>
    <w:rsid w:val="006D165C"/>
    <w:rsid w:val="006D1996"/>
    <w:rsid w:val="006D215D"/>
    <w:rsid w:val="006D292D"/>
    <w:rsid w:val="006D3F93"/>
    <w:rsid w:val="006D4B58"/>
    <w:rsid w:val="006D6876"/>
    <w:rsid w:val="006D708D"/>
    <w:rsid w:val="006D7C8C"/>
    <w:rsid w:val="006E0368"/>
    <w:rsid w:val="006E10F1"/>
    <w:rsid w:val="006E28DB"/>
    <w:rsid w:val="006E2B3F"/>
    <w:rsid w:val="006E2B87"/>
    <w:rsid w:val="006E31FB"/>
    <w:rsid w:val="006E3205"/>
    <w:rsid w:val="006E34D3"/>
    <w:rsid w:val="006E3E8E"/>
    <w:rsid w:val="006E55D6"/>
    <w:rsid w:val="006E5F53"/>
    <w:rsid w:val="006F0529"/>
    <w:rsid w:val="006F2BAF"/>
    <w:rsid w:val="006F7856"/>
    <w:rsid w:val="00700963"/>
    <w:rsid w:val="00703009"/>
    <w:rsid w:val="007041EA"/>
    <w:rsid w:val="007042DA"/>
    <w:rsid w:val="0070501E"/>
    <w:rsid w:val="0070502C"/>
    <w:rsid w:val="00705C07"/>
    <w:rsid w:val="00706188"/>
    <w:rsid w:val="00711F4A"/>
    <w:rsid w:val="007124B0"/>
    <w:rsid w:val="00712F85"/>
    <w:rsid w:val="00713A56"/>
    <w:rsid w:val="00713B4F"/>
    <w:rsid w:val="0071422C"/>
    <w:rsid w:val="00714F65"/>
    <w:rsid w:val="00716472"/>
    <w:rsid w:val="0071653E"/>
    <w:rsid w:val="007169B2"/>
    <w:rsid w:val="00716B11"/>
    <w:rsid w:val="00717E09"/>
    <w:rsid w:val="00720EBD"/>
    <w:rsid w:val="00723F92"/>
    <w:rsid w:val="00725B26"/>
    <w:rsid w:val="00726ACA"/>
    <w:rsid w:val="00727F7A"/>
    <w:rsid w:val="0073010A"/>
    <w:rsid w:val="00730C06"/>
    <w:rsid w:val="00730EA4"/>
    <w:rsid w:val="00731501"/>
    <w:rsid w:val="00731943"/>
    <w:rsid w:val="007325B7"/>
    <w:rsid w:val="007328C9"/>
    <w:rsid w:val="00732E68"/>
    <w:rsid w:val="00734058"/>
    <w:rsid w:val="00734DF6"/>
    <w:rsid w:val="00736851"/>
    <w:rsid w:val="00737284"/>
    <w:rsid w:val="00737385"/>
    <w:rsid w:val="007402CA"/>
    <w:rsid w:val="007405B6"/>
    <w:rsid w:val="00740DE0"/>
    <w:rsid w:val="00740FA6"/>
    <w:rsid w:val="007410DC"/>
    <w:rsid w:val="00741119"/>
    <w:rsid w:val="007417E1"/>
    <w:rsid w:val="00743614"/>
    <w:rsid w:val="007441B8"/>
    <w:rsid w:val="007451B7"/>
    <w:rsid w:val="007522F1"/>
    <w:rsid w:val="007525AF"/>
    <w:rsid w:val="00752865"/>
    <w:rsid w:val="00752937"/>
    <w:rsid w:val="00752AA1"/>
    <w:rsid w:val="00753F93"/>
    <w:rsid w:val="00754616"/>
    <w:rsid w:val="00755407"/>
    <w:rsid w:val="00755760"/>
    <w:rsid w:val="00756371"/>
    <w:rsid w:val="007569DE"/>
    <w:rsid w:val="007570B2"/>
    <w:rsid w:val="0075763E"/>
    <w:rsid w:val="00760061"/>
    <w:rsid w:val="00760FEC"/>
    <w:rsid w:val="00761805"/>
    <w:rsid w:val="00764970"/>
    <w:rsid w:val="00764EC7"/>
    <w:rsid w:val="007652D2"/>
    <w:rsid w:val="007659B8"/>
    <w:rsid w:val="007669D9"/>
    <w:rsid w:val="00766D51"/>
    <w:rsid w:val="00767002"/>
    <w:rsid w:val="00767036"/>
    <w:rsid w:val="00767A78"/>
    <w:rsid w:val="00767DC6"/>
    <w:rsid w:val="00770614"/>
    <w:rsid w:val="00770BE5"/>
    <w:rsid w:val="007737AD"/>
    <w:rsid w:val="007737B7"/>
    <w:rsid w:val="00773887"/>
    <w:rsid w:val="0077474D"/>
    <w:rsid w:val="00774C27"/>
    <w:rsid w:val="00774DB5"/>
    <w:rsid w:val="00775349"/>
    <w:rsid w:val="00775B8C"/>
    <w:rsid w:val="00775ED6"/>
    <w:rsid w:val="0078128B"/>
    <w:rsid w:val="00782EFB"/>
    <w:rsid w:val="007834A3"/>
    <w:rsid w:val="007834B4"/>
    <w:rsid w:val="00784A76"/>
    <w:rsid w:val="00785225"/>
    <w:rsid w:val="007858F3"/>
    <w:rsid w:val="00785912"/>
    <w:rsid w:val="00786731"/>
    <w:rsid w:val="007869C7"/>
    <w:rsid w:val="00786AD3"/>
    <w:rsid w:val="007874EC"/>
    <w:rsid w:val="00790898"/>
    <w:rsid w:val="007927B7"/>
    <w:rsid w:val="00792823"/>
    <w:rsid w:val="00792A22"/>
    <w:rsid w:val="0079396B"/>
    <w:rsid w:val="00793A43"/>
    <w:rsid w:val="00794F99"/>
    <w:rsid w:val="0079582E"/>
    <w:rsid w:val="007967D0"/>
    <w:rsid w:val="007A03AB"/>
    <w:rsid w:val="007A0C84"/>
    <w:rsid w:val="007A150B"/>
    <w:rsid w:val="007A1B36"/>
    <w:rsid w:val="007A2642"/>
    <w:rsid w:val="007A4AE0"/>
    <w:rsid w:val="007A5271"/>
    <w:rsid w:val="007A55B8"/>
    <w:rsid w:val="007A5F9D"/>
    <w:rsid w:val="007A643E"/>
    <w:rsid w:val="007A679B"/>
    <w:rsid w:val="007A799A"/>
    <w:rsid w:val="007B10D9"/>
    <w:rsid w:val="007B13FB"/>
    <w:rsid w:val="007B1A72"/>
    <w:rsid w:val="007B328D"/>
    <w:rsid w:val="007B3F04"/>
    <w:rsid w:val="007B4FB3"/>
    <w:rsid w:val="007B546F"/>
    <w:rsid w:val="007B54A2"/>
    <w:rsid w:val="007B6103"/>
    <w:rsid w:val="007B6A11"/>
    <w:rsid w:val="007B70D7"/>
    <w:rsid w:val="007B78B4"/>
    <w:rsid w:val="007C28DB"/>
    <w:rsid w:val="007C2960"/>
    <w:rsid w:val="007C2A93"/>
    <w:rsid w:val="007C2B55"/>
    <w:rsid w:val="007C3FBA"/>
    <w:rsid w:val="007C4950"/>
    <w:rsid w:val="007C5F7D"/>
    <w:rsid w:val="007C7AEF"/>
    <w:rsid w:val="007D0915"/>
    <w:rsid w:val="007D0E16"/>
    <w:rsid w:val="007D252D"/>
    <w:rsid w:val="007D2D11"/>
    <w:rsid w:val="007D3183"/>
    <w:rsid w:val="007D34B3"/>
    <w:rsid w:val="007D35B9"/>
    <w:rsid w:val="007D388A"/>
    <w:rsid w:val="007D5AC0"/>
    <w:rsid w:val="007D5E7C"/>
    <w:rsid w:val="007D5FAE"/>
    <w:rsid w:val="007D63E8"/>
    <w:rsid w:val="007E087C"/>
    <w:rsid w:val="007E16F8"/>
    <w:rsid w:val="007E1BA9"/>
    <w:rsid w:val="007E2592"/>
    <w:rsid w:val="007E266A"/>
    <w:rsid w:val="007E4231"/>
    <w:rsid w:val="007E4E15"/>
    <w:rsid w:val="007E7391"/>
    <w:rsid w:val="007E74AE"/>
    <w:rsid w:val="007E7A71"/>
    <w:rsid w:val="007F04D2"/>
    <w:rsid w:val="007F07FE"/>
    <w:rsid w:val="007F16BF"/>
    <w:rsid w:val="007F1DD9"/>
    <w:rsid w:val="007F2512"/>
    <w:rsid w:val="007F29B0"/>
    <w:rsid w:val="007F4CCD"/>
    <w:rsid w:val="007F61B7"/>
    <w:rsid w:val="007F7BCB"/>
    <w:rsid w:val="007F7C31"/>
    <w:rsid w:val="008011C7"/>
    <w:rsid w:val="00802AC9"/>
    <w:rsid w:val="00803312"/>
    <w:rsid w:val="00804170"/>
    <w:rsid w:val="0080423F"/>
    <w:rsid w:val="00804973"/>
    <w:rsid w:val="008051F4"/>
    <w:rsid w:val="00805E15"/>
    <w:rsid w:val="00806598"/>
    <w:rsid w:val="00807924"/>
    <w:rsid w:val="00810038"/>
    <w:rsid w:val="00810124"/>
    <w:rsid w:val="008113F1"/>
    <w:rsid w:val="008115A7"/>
    <w:rsid w:val="00813121"/>
    <w:rsid w:val="008136B0"/>
    <w:rsid w:val="00815301"/>
    <w:rsid w:val="008159B1"/>
    <w:rsid w:val="00815C97"/>
    <w:rsid w:val="00816396"/>
    <w:rsid w:val="0081779B"/>
    <w:rsid w:val="00820DF4"/>
    <w:rsid w:val="008214F4"/>
    <w:rsid w:val="00822DFC"/>
    <w:rsid w:val="008257CA"/>
    <w:rsid w:val="0082724D"/>
    <w:rsid w:val="00830B34"/>
    <w:rsid w:val="00831CB1"/>
    <w:rsid w:val="00832229"/>
    <w:rsid w:val="00833B96"/>
    <w:rsid w:val="00834B95"/>
    <w:rsid w:val="0083529E"/>
    <w:rsid w:val="00835C45"/>
    <w:rsid w:val="00837682"/>
    <w:rsid w:val="00837D0F"/>
    <w:rsid w:val="0084020E"/>
    <w:rsid w:val="008405FE"/>
    <w:rsid w:val="00840A69"/>
    <w:rsid w:val="00840C8B"/>
    <w:rsid w:val="008417F8"/>
    <w:rsid w:val="0084317E"/>
    <w:rsid w:val="008437FE"/>
    <w:rsid w:val="0084497A"/>
    <w:rsid w:val="00845AE3"/>
    <w:rsid w:val="0084796A"/>
    <w:rsid w:val="0085145C"/>
    <w:rsid w:val="008515EC"/>
    <w:rsid w:val="0085183B"/>
    <w:rsid w:val="00851C3E"/>
    <w:rsid w:val="00852402"/>
    <w:rsid w:val="008525DE"/>
    <w:rsid w:val="00853C9B"/>
    <w:rsid w:val="00854286"/>
    <w:rsid w:val="008570BC"/>
    <w:rsid w:val="008579DD"/>
    <w:rsid w:val="00861104"/>
    <w:rsid w:val="00861FAA"/>
    <w:rsid w:val="008620EC"/>
    <w:rsid w:val="008642FC"/>
    <w:rsid w:val="00864764"/>
    <w:rsid w:val="008659E5"/>
    <w:rsid w:val="00865F4B"/>
    <w:rsid w:val="00866304"/>
    <w:rsid w:val="00866BC7"/>
    <w:rsid w:val="008675B4"/>
    <w:rsid w:val="00867893"/>
    <w:rsid w:val="00867E58"/>
    <w:rsid w:val="008719C9"/>
    <w:rsid w:val="00871CE0"/>
    <w:rsid w:val="008727DB"/>
    <w:rsid w:val="00873681"/>
    <w:rsid w:val="00874426"/>
    <w:rsid w:val="00874480"/>
    <w:rsid w:val="00874682"/>
    <w:rsid w:val="00874DBF"/>
    <w:rsid w:val="00874E9F"/>
    <w:rsid w:val="00875E55"/>
    <w:rsid w:val="008765B8"/>
    <w:rsid w:val="00877B32"/>
    <w:rsid w:val="00880839"/>
    <w:rsid w:val="00880DC8"/>
    <w:rsid w:val="00881AE4"/>
    <w:rsid w:val="00882A98"/>
    <w:rsid w:val="00883838"/>
    <w:rsid w:val="00884127"/>
    <w:rsid w:val="00884244"/>
    <w:rsid w:val="00884342"/>
    <w:rsid w:val="00884C53"/>
    <w:rsid w:val="008852A7"/>
    <w:rsid w:val="008864A2"/>
    <w:rsid w:val="00886AFF"/>
    <w:rsid w:val="00886E02"/>
    <w:rsid w:val="00891AE9"/>
    <w:rsid w:val="00891B50"/>
    <w:rsid w:val="008929DA"/>
    <w:rsid w:val="00892F46"/>
    <w:rsid w:val="008935D6"/>
    <w:rsid w:val="00895CC7"/>
    <w:rsid w:val="0089613E"/>
    <w:rsid w:val="0089624E"/>
    <w:rsid w:val="008973AB"/>
    <w:rsid w:val="008975C7"/>
    <w:rsid w:val="00897734"/>
    <w:rsid w:val="008A02F3"/>
    <w:rsid w:val="008A049A"/>
    <w:rsid w:val="008A08E5"/>
    <w:rsid w:val="008A0AB1"/>
    <w:rsid w:val="008A14A4"/>
    <w:rsid w:val="008A504B"/>
    <w:rsid w:val="008A6822"/>
    <w:rsid w:val="008A7A6B"/>
    <w:rsid w:val="008A7BB2"/>
    <w:rsid w:val="008A7E98"/>
    <w:rsid w:val="008B01C1"/>
    <w:rsid w:val="008B0200"/>
    <w:rsid w:val="008B2CD7"/>
    <w:rsid w:val="008B429D"/>
    <w:rsid w:val="008B53A6"/>
    <w:rsid w:val="008B650B"/>
    <w:rsid w:val="008B6836"/>
    <w:rsid w:val="008B79AF"/>
    <w:rsid w:val="008B7F08"/>
    <w:rsid w:val="008C1E43"/>
    <w:rsid w:val="008C2F28"/>
    <w:rsid w:val="008C2FF1"/>
    <w:rsid w:val="008C3AD9"/>
    <w:rsid w:val="008C5003"/>
    <w:rsid w:val="008C52CB"/>
    <w:rsid w:val="008C5C1D"/>
    <w:rsid w:val="008C7586"/>
    <w:rsid w:val="008C7C7C"/>
    <w:rsid w:val="008D0171"/>
    <w:rsid w:val="008D06A5"/>
    <w:rsid w:val="008D12B6"/>
    <w:rsid w:val="008D2CF0"/>
    <w:rsid w:val="008D3223"/>
    <w:rsid w:val="008D328C"/>
    <w:rsid w:val="008D3348"/>
    <w:rsid w:val="008D3758"/>
    <w:rsid w:val="008D4D61"/>
    <w:rsid w:val="008D5CEA"/>
    <w:rsid w:val="008D60E1"/>
    <w:rsid w:val="008D64A7"/>
    <w:rsid w:val="008D7365"/>
    <w:rsid w:val="008D737B"/>
    <w:rsid w:val="008E00FA"/>
    <w:rsid w:val="008E0641"/>
    <w:rsid w:val="008E0D61"/>
    <w:rsid w:val="008E131D"/>
    <w:rsid w:val="008E147C"/>
    <w:rsid w:val="008E204B"/>
    <w:rsid w:val="008E274D"/>
    <w:rsid w:val="008E2CA8"/>
    <w:rsid w:val="008E30BC"/>
    <w:rsid w:val="008E3DF4"/>
    <w:rsid w:val="008E3F4B"/>
    <w:rsid w:val="008E4725"/>
    <w:rsid w:val="008E4F44"/>
    <w:rsid w:val="008E5853"/>
    <w:rsid w:val="008E5BE1"/>
    <w:rsid w:val="008E6B53"/>
    <w:rsid w:val="008E6DE1"/>
    <w:rsid w:val="008E7D52"/>
    <w:rsid w:val="008F1192"/>
    <w:rsid w:val="008F15D5"/>
    <w:rsid w:val="008F1CBB"/>
    <w:rsid w:val="008F43C0"/>
    <w:rsid w:val="008F4DD7"/>
    <w:rsid w:val="008F57CF"/>
    <w:rsid w:val="008F5E3C"/>
    <w:rsid w:val="00900C73"/>
    <w:rsid w:val="00900E3D"/>
    <w:rsid w:val="0090291C"/>
    <w:rsid w:val="00902B19"/>
    <w:rsid w:val="00903DCC"/>
    <w:rsid w:val="00904622"/>
    <w:rsid w:val="009067DC"/>
    <w:rsid w:val="00907511"/>
    <w:rsid w:val="009076EF"/>
    <w:rsid w:val="00907DAA"/>
    <w:rsid w:val="00907E10"/>
    <w:rsid w:val="00910E20"/>
    <w:rsid w:val="0091106B"/>
    <w:rsid w:val="00912DE2"/>
    <w:rsid w:val="00914EE3"/>
    <w:rsid w:val="00915150"/>
    <w:rsid w:val="00915E5C"/>
    <w:rsid w:val="0091640D"/>
    <w:rsid w:val="00917879"/>
    <w:rsid w:val="00920881"/>
    <w:rsid w:val="00923112"/>
    <w:rsid w:val="009235F3"/>
    <w:rsid w:val="00924B4F"/>
    <w:rsid w:val="00924BDB"/>
    <w:rsid w:val="00924DB2"/>
    <w:rsid w:val="00924DD3"/>
    <w:rsid w:val="00925D79"/>
    <w:rsid w:val="0092626F"/>
    <w:rsid w:val="0092652F"/>
    <w:rsid w:val="009265A6"/>
    <w:rsid w:val="009273B3"/>
    <w:rsid w:val="00927596"/>
    <w:rsid w:val="009275BF"/>
    <w:rsid w:val="00927B59"/>
    <w:rsid w:val="0093012F"/>
    <w:rsid w:val="009305C9"/>
    <w:rsid w:val="00930C65"/>
    <w:rsid w:val="009314A0"/>
    <w:rsid w:val="009316CD"/>
    <w:rsid w:val="00931F78"/>
    <w:rsid w:val="00932A65"/>
    <w:rsid w:val="009339AF"/>
    <w:rsid w:val="00933AB0"/>
    <w:rsid w:val="00933D28"/>
    <w:rsid w:val="00934033"/>
    <w:rsid w:val="00934C0A"/>
    <w:rsid w:val="00934FB9"/>
    <w:rsid w:val="00935362"/>
    <w:rsid w:val="00937005"/>
    <w:rsid w:val="009377A1"/>
    <w:rsid w:val="009409C7"/>
    <w:rsid w:val="009420EF"/>
    <w:rsid w:val="009424F0"/>
    <w:rsid w:val="0094387E"/>
    <w:rsid w:val="00943F6C"/>
    <w:rsid w:val="009442DB"/>
    <w:rsid w:val="0094492D"/>
    <w:rsid w:val="009449DC"/>
    <w:rsid w:val="00946461"/>
    <w:rsid w:val="009503EB"/>
    <w:rsid w:val="009504C1"/>
    <w:rsid w:val="00951623"/>
    <w:rsid w:val="00951EC9"/>
    <w:rsid w:val="00952048"/>
    <w:rsid w:val="00952759"/>
    <w:rsid w:val="00952F93"/>
    <w:rsid w:val="009531F4"/>
    <w:rsid w:val="00954480"/>
    <w:rsid w:val="00954696"/>
    <w:rsid w:val="00954DA9"/>
    <w:rsid w:val="00955060"/>
    <w:rsid w:val="00955D6E"/>
    <w:rsid w:val="009578AB"/>
    <w:rsid w:val="0096190C"/>
    <w:rsid w:val="00961FD0"/>
    <w:rsid w:val="00962C7D"/>
    <w:rsid w:val="00964C14"/>
    <w:rsid w:val="00964D49"/>
    <w:rsid w:val="0096589E"/>
    <w:rsid w:val="0096621A"/>
    <w:rsid w:val="009677DE"/>
    <w:rsid w:val="00970E87"/>
    <w:rsid w:val="00972457"/>
    <w:rsid w:val="0097355E"/>
    <w:rsid w:val="009750C2"/>
    <w:rsid w:val="00975723"/>
    <w:rsid w:val="009759F3"/>
    <w:rsid w:val="009762FA"/>
    <w:rsid w:val="009776CF"/>
    <w:rsid w:val="00977EBF"/>
    <w:rsid w:val="00980E89"/>
    <w:rsid w:val="009810DC"/>
    <w:rsid w:val="00981D03"/>
    <w:rsid w:val="00982AF9"/>
    <w:rsid w:val="0098307E"/>
    <w:rsid w:val="009835D2"/>
    <w:rsid w:val="009853E3"/>
    <w:rsid w:val="009858CD"/>
    <w:rsid w:val="009866F0"/>
    <w:rsid w:val="00986CD6"/>
    <w:rsid w:val="00987115"/>
    <w:rsid w:val="00990534"/>
    <w:rsid w:val="009906E6"/>
    <w:rsid w:val="00990E05"/>
    <w:rsid w:val="00991044"/>
    <w:rsid w:val="00991BBA"/>
    <w:rsid w:val="00992BF0"/>
    <w:rsid w:val="00992DAC"/>
    <w:rsid w:val="00992F59"/>
    <w:rsid w:val="00994321"/>
    <w:rsid w:val="00994649"/>
    <w:rsid w:val="00994CE8"/>
    <w:rsid w:val="0099559E"/>
    <w:rsid w:val="00995828"/>
    <w:rsid w:val="00995BBE"/>
    <w:rsid w:val="00995D53"/>
    <w:rsid w:val="00995DED"/>
    <w:rsid w:val="00995F92"/>
    <w:rsid w:val="00996017"/>
    <w:rsid w:val="00996A1D"/>
    <w:rsid w:val="009A18E5"/>
    <w:rsid w:val="009A1EBE"/>
    <w:rsid w:val="009A2596"/>
    <w:rsid w:val="009A2FB5"/>
    <w:rsid w:val="009A47F0"/>
    <w:rsid w:val="009A6628"/>
    <w:rsid w:val="009A7C3B"/>
    <w:rsid w:val="009B0365"/>
    <w:rsid w:val="009B1847"/>
    <w:rsid w:val="009B1E75"/>
    <w:rsid w:val="009B1F01"/>
    <w:rsid w:val="009B3CAD"/>
    <w:rsid w:val="009B3FF3"/>
    <w:rsid w:val="009B412E"/>
    <w:rsid w:val="009B4321"/>
    <w:rsid w:val="009B5317"/>
    <w:rsid w:val="009B68B0"/>
    <w:rsid w:val="009B7A7F"/>
    <w:rsid w:val="009B7BB8"/>
    <w:rsid w:val="009B7C1E"/>
    <w:rsid w:val="009B7CFE"/>
    <w:rsid w:val="009B7FCA"/>
    <w:rsid w:val="009C000E"/>
    <w:rsid w:val="009C087C"/>
    <w:rsid w:val="009C21F6"/>
    <w:rsid w:val="009C314C"/>
    <w:rsid w:val="009C3795"/>
    <w:rsid w:val="009C52C8"/>
    <w:rsid w:val="009C5EDE"/>
    <w:rsid w:val="009C7835"/>
    <w:rsid w:val="009D0140"/>
    <w:rsid w:val="009D1B7C"/>
    <w:rsid w:val="009D1EFE"/>
    <w:rsid w:val="009D1F7A"/>
    <w:rsid w:val="009D2423"/>
    <w:rsid w:val="009D30F0"/>
    <w:rsid w:val="009D42CE"/>
    <w:rsid w:val="009D4772"/>
    <w:rsid w:val="009D4997"/>
    <w:rsid w:val="009D624F"/>
    <w:rsid w:val="009D6385"/>
    <w:rsid w:val="009D65F2"/>
    <w:rsid w:val="009D7BF1"/>
    <w:rsid w:val="009E15C0"/>
    <w:rsid w:val="009E1C70"/>
    <w:rsid w:val="009E1D7F"/>
    <w:rsid w:val="009E2E01"/>
    <w:rsid w:val="009E4BE0"/>
    <w:rsid w:val="009E6237"/>
    <w:rsid w:val="009E6DC5"/>
    <w:rsid w:val="009E7234"/>
    <w:rsid w:val="009E7BD8"/>
    <w:rsid w:val="009F034C"/>
    <w:rsid w:val="009F0442"/>
    <w:rsid w:val="009F0AB2"/>
    <w:rsid w:val="009F1365"/>
    <w:rsid w:val="009F2042"/>
    <w:rsid w:val="009F262B"/>
    <w:rsid w:val="009F39E5"/>
    <w:rsid w:val="009F43F3"/>
    <w:rsid w:val="009F4D63"/>
    <w:rsid w:val="009F5256"/>
    <w:rsid w:val="009F5D9C"/>
    <w:rsid w:val="00A002E7"/>
    <w:rsid w:val="00A01B6C"/>
    <w:rsid w:val="00A02177"/>
    <w:rsid w:val="00A023D1"/>
    <w:rsid w:val="00A025C3"/>
    <w:rsid w:val="00A028B6"/>
    <w:rsid w:val="00A03048"/>
    <w:rsid w:val="00A046E3"/>
    <w:rsid w:val="00A04F97"/>
    <w:rsid w:val="00A04FA5"/>
    <w:rsid w:val="00A059F4"/>
    <w:rsid w:val="00A06292"/>
    <w:rsid w:val="00A066CA"/>
    <w:rsid w:val="00A06CA8"/>
    <w:rsid w:val="00A07330"/>
    <w:rsid w:val="00A10003"/>
    <w:rsid w:val="00A100DA"/>
    <w:rsid w:val="00A10873"/>
    <w:rsid w:val="00A11153"/>
    <w:rsid w:val="00A11CF9"/>
    <w:rsid w:val="00A14941"/>
    <w:rsid w:val="00A14CBB"/>
    <w:rsid w:val="00A1525A"/>
    <w:rsid w:val="00A1544B"/>
    <w:rsid w:val="00A16705"/>
    <w:rsid w:val="00A171EB"/>
    <w:rsid w:val="00A17489"/>
    <w:rsid w:val="00A17543"/>
    <w:rsid w:val="00A2086E"/>
    <w:rsid w:val="00A20F23"/>
    <w:rsid w:val="00A2123D"/>
    <w:rsid w:val="00A212DF"/>
    <w:rsid w:val="00A219BC"/>
    <w:rsid w:val="00A219F3"/>
    <w:rsid w:val="00A23AAA"/>
    <w:rsid w:val="00A23BEC"/>
    <w:rsid w:val="00A2410E"/>
    <w:rsid w:val="00A24528"/>
    <w:rsid w:val="00A24653"/>
    <w:rsid w:val="00A24E8F"/>
    <w:rsid w:val="00A26529"/>
    <w:rsid w:val="00A26659"/>
    <w:rsid w:val="00A26678"/>
    <w:rsid w:val="00A26A1F"/>
    <w:rsid w:val="00A302D5"/>
    <w:rsid w:val="00A30B55"/>
    <w:rsid w:val="00A30F3E"/>
    <w:rsid w:val="00A32196"/>
    <w:rsid w:val="00A32415"/>
    <w:rsid w:val="00A32A50"/>
    <w:rsid w:val="00A335A7"/>
    <w:rsid w:val="00A35A43"/>
    <w:rsid w:val="00A35D4F"/>
    <w:rsid w:val="00A35EC6"/>
    <w:rsid w:val="00A4002D"/>
    <w:rsid w:val="00A402C4"/>
    <w:rsid w:val="00A40413"/>
    <w:rsid w:val="00A4093B"/>
    <w:rsid w:val="00A40F6D"/>
    <w:rsid w:val="00A41241"/>
    <w:rsid w:val="00A42C35"/>
    <w:rsid w:val="00A42D81"/>
    <w:rsid w:val="00A45D30"/>
    <w:rsid w:val="00A4617F"/>
    <w:rsid w:val="00A46D81"/>
    <w:rsid w:val="00A47A1F"/>
    <w:rsid w:val="00A47DD9"/>
    <w:rsid w:val="00A50A04"/>
    <w:rsid w:val="00A514C2"/>
    <w:rsid w:val="00A52794"/>
    <w:rsid w:val="00A54BD5"/>
    <w:rsid w:val="00A5589A"/>
    <w:rsid w:val="00A5640A"/>
    <w:rsid w:val="00A56A4B"/>
    <w:rsid w:val="00A57C71"/>
    <w:rsid w:val="00A57E2F"/>
    <w:rsid w:val="00A62E13"/>
    <w:rsid w:val="00A64416"/>
    <w:rsid w:val="00A647A8"/>
    <w:rsid w:val="00A66D22"/>
    <w:rsid w:val="00A71B51"/>
    <w:rsid w:val="00A71BC5"/>
    <w:rsid w:val="00A71C33"/>
    <w:rsid w:val="00A7226A"/>
    <w:rsid w:val="00A726F9"/>
    <w:rsid w:val="00A72B29"/>
    <w:rsid w:val="00A73DDC"/>
    <w:rsid w:val="00A741B6"/>
    <w:rsid w:val="00A75CCF"/>
    <w:rsid w:val="00A767E9"/>
    <w:rsid w:val="00A7773E"/>
    <w:rsid w:val="00A77949"/>
    <w:rsid w:val="00A77AE1"/>
    <w:rsid w:val="00A77DBC"/>
    <w:rsid w:val="00A80342"/>
    <w:rsid w:val="00A81EA3"/>
    <w:rsid w:val="00A82D83"/>
    <w:rsid w:val="00A835CA"/>
    <w:rsid w:val="00A839DC"/>
    <w:rsid w:val="00A83B86"/>
    <w:rsid w:val="00A8432D"/>
    <w:rsid w:val="00A85456"/>
    <w:rsid w:val="00A860FF"/>
    <w:rsid w:val="00A86D60"/>
    <w:rsid w:val="00A9047F"/>
    <w:rsid w:val="00A90D06"/>
    <w:rsid w:val="00A9178F"/>
    <w:rsid w:val="00A91EC5"/>
    <w:rsid w:val="00A91EDB"/>
    <w:rsid w:val="00A921CC"/>
    <w:rsid w:val="00A92FC8"/>
    <w:rsid w:val="00A9473D"/>
    <w:rsid w:val="00A96476"/>
    <w:rsid w:val="00A9677E"/>
    <w:rsid w:val="00A969C4"/>
    <w:rsid w:val="00A97538"/>
    <w:rsid w:val="00AA00DF"/>
    <w:rsid w:val="00AA0846"/>
    <w:rsid w:val="00AA0856"/>
    <w:rsid w:val="00AA0C6B"/>
    <w:rsid w:val="00AA0F2C"/>
    <w:rsid w:val="00AA2B80"/>
    <w:rsid w:val="00AA352B"/>
    <w:rsid w:val="00AA3530"/>
    <w:rsid w:val="00AA4382"/>
    <w:rsid w:val="00AA439C"/>
    <w:rsid w:val="00AA5B65"/>
    <w:rsid w:val="00AA667F"/>
    <w:rsid w:val="00AA6804"/>
    <w:rsid w:val="00AA7F59"/>
    <w:rsid w:val="00AB079E"/>
    <w:rsid w:val="00AB10E8"/>
    <w:rsid w:val="00AB10F0"/>
    <w:rsid w:val="00AB1588"/>
    <w:rsid w:val="00AB224A"/>
    <w:rsid w:val="00AB2CBA"/>
    <w:rsid w:val="00AB3787"/>
    <w:rsid w:val="00AB44EB"/>
    <w:rsid w:val="00AB4696"/>
    <w:rsid w:val="00AB58B2"/>
    <w:rsid w:val="00AB7D3E"/>
    <w:rsid w:val="00AC0354"/>
    <w:rsid w:val="00AC2D62"/>
    <w:rsid w:val="00AC4E21"/>
    <w:rsid w:val="00AC6786"/>
    <w:rsid w:val="00AC7184"/>
    <w:rsid w:val="00AD0158"/>
    <w:rsid w:val="00AD01DB"/>
    <w:rsid w:val="00AD14CD"/>
    <w:rsid w:val="00AD194C"/>
    <w:rsid w:val="00AD198B"/>
    <w:rsid w:val="00AD31AE"/>
    <w:rsid w:val="00AD4474"/>
    <w:rsid w:val="00AD5C8B"/>
    <w:rsid w:val="00AD72F8"/>
    <w:rsid w:val="00AD7EB3"/>
    <w:rsid w:val="00AD7FE8"/>
    <w:rsid w:val="00AE27CF"/>
    <w:rsid w:val="00AE2E79"/>
    <w:rsid w:val="00AE3CDC"/>
    <w:rsid w:val="00AE437C"/>
    <w:rsid w:val="00AE656E"/>
    <w:rsid w:val="00AE6A64"/>
    <w:rsid w:val="00AE7AD9"/>
    <w:rsid w:val="00AE7ED5"/>
    <w:rsid w:val="00AE7F5B"/>
    <w:rsid w:val="00AF139D"/>
    <w:rsid w:val="00AF4825"/>
    <w:rsid w:val="00AF4D2D"/>
    <w:rsid w:val="00AF5071"/>
    <w:rsid w:val="00AF51F3"/>
    <w:rsid w:val="00AF5E8A"/>
    <w:rsid w:val="00AF5FB4"/>
    <w:rsid w:val="00AF76B0"/>
    <w:rsid w:val="00B0032E"/>
    <w:rsid w:val="00B0043B"/>
    <w:rsid w:val="00B0207F"/>
    <w:rsid w:val="00B02098"/>
    <w:rsid w:val="00B03DDA"/>
    <w:rsid w:val="00B04C7C"/>
    <w:rsid w:val="00B04F05"/>
    <w:rsid w:val="00B053CC"/>
    <w:rsid w:val="00B05997"/>
    <w:rsid w:val="00B06C3E"/>
    <w:rsid w:val="00B0733A"/>
    <w:rsid w:val="00B10468"/>
    <w:rsid w:val="00B109B1"/>
    <w:rsid w:val="00B12301"/>
    <w:rsid w:val="00B129FB"/>
    <w:rsid w:val="00B12C14"/>
    <w:rsid w:val="00B133DC"/>
    <w:rsid w:val="00B13799"/>
    <w:rsid w:val="00B13C40"/>
    <w:rsid w:val="00B13FFC"/>
    <w:rsid w:val="00B141EF"/>
    <w:rsid w:val="00B1497C"/>
    <w:rsid w:val="00B14F22"/>
    <w:rsid w:val="00B163BE"/>
    <w:rsid w:val="00B16803"/>
    <w:rsid w:val="00B20956"/>
    <w:rsid w:val="00B20D30"/>
    <w:rsid w:val="00B22771"/>
    <w:rsid w:val="00B2320F"/>
    <w:rsid w:val="00B24E90"/>
    <w:rsid w:val="00B263D6"/>
    <w:rsid w:val="00B265AA"/>
    <w:rsid w:val="00B3006F"/>
    <w:rsid w:val="00B3088A"/>
    <w:rsid w:val="00B31C60"/>
    <w:rsid w:val="00B35790"/>
    <w:rsid w:val="00B36A96"/>
    <w:rsid w:val="00B373BC"/>
    <w:rsid w:val="00B37B05"/>
    <w:rsid w:val="00B37F62"/>
    <w:rsid w:val="00B40290"/>
    <w:rsid w:val="00B40AAD"/>
    <w:rsid w:val="00B41968"/>
    <w:rsid w:val="00B41DAA"/>
    <w:rsid w:val="00B424B1"/>
    <w:rsid w:val="00B439DB"/>
    <w:rsid w:val="00B4419F"/>
    <w:rsid w:val="00B44DAA"/>
    <w:rsid w:val="00B4542D"/>
    <w:rsid w:val="00B457CE"/>
    <w:rsid w:val="00B47784"/>
    <w:rsid w:val="00B47C1B"/>
    <w:rsid w:val="00B503DF"/>
    <w:rsid w:val="00B50ED7"/>
    <w:rsid w:val="00B51C52"/>
    <w:rsid w:val="00B52A20"/>
    <w:rsid w:val="00B53898"/>
    <w:rsid w:val="00B542B0"/>
    <w:rsid w:val="00B55ADD"/>
    <w:rsid w:val="00B56014"/>
    <w:rsid w:val="00B569F6"/>
    <w:rsid w:val="00B56A8E"/>
    <w:rsid w:val="00B57E64"/>
    <w:rsid w:val="00B601D6"/>
    <w:rsid w:val="00B62013"/>
    <w:rsid w:val="00B635CD"/>
    <w:rsid w:val="00B639C3"/>
    <w:rsid w:val="00B63A93"/>
    <w:rsid w:val="00B6485B"/>
    <w:rsid w:val="00B65A6B"/>
    <w:rsid w:val="00B65B94"/>
    <w:rsid w:val="00B66000"/>
    <w:rsid w:val="00B66140"/>
    <w:rsid w:val="00B66146"/>
    <w:rsid w:val="00B66544"/>
    <w:rsid w:val="00B66ACC"/>
    <w:rsid w:val="00B677F6"/>
    <w:rsid w:val="00B6793B"/>
    <w:rsid w:val="00B67983"/>
    <w:rsid w:val="00B67CA0"/>
    <w:rsid w:val="00B67E9E"/>
    <w:rsid w:val="00B67EFC"/>
    <w:rsid w:val="00B7038A"/>
    <w:rsid w:val="00B70622"/>
    <w:rsid w:val="00B734E9"/>
    <w:rsid w:val="00B73F6F"/>
    <w:rsid w:val="00B74577"/>
    <w:rsid w:val="00B74947"/>
    <w:rsid w:val="00B75944"/>
    <w:rsid w:val="00B75A5A"/>
    <w:rsid w:val="00B7630D"/>
    <w:rsid w:val="00B7661E"/>
    <w:rsid w:val="00B8039B"/>
    <w:rsid w:val="00B80499"/>
    <w:rsid w:val="00B8191D"/>
    <w:rsid w:val="00B82258"/>
    <w:rsid w:val="00B8347A"/>
    <w:rsid w:val="00B83F19"/>
    <w:rsid w:val="00B84C60"/>
    <w:rsid w:val="00B84ECC"/>
    <w:rsid w:val="00B8527D"/>
    <w:rsid w:val="00B864D7"/>
    <w:rsid w:val="00B86CBE"/>
    <w:rsid w:val="00B903DE"/>
    <w:rsid w:val="00B90462"/>
    <w:rsid w:val="00B907DD"/>
    <w:rsid w:val="00B9127D"/>
    <w:rsid w:val="00B91282"/>
    <w:rsid w:val="00B92D0B"/>
    <w:rsid w:val="00B93237"/>
    <w:rsid w:val="00B9612A"/>
    <w:rsid w:val="00B96B84"/>
    <w:rsid w:val="00BA17D2"/>
    <w:rsid w:val="00BA1EB4"/>
    <w:rsid w:val="00BA29CF"/>
    <w:rsid w:val="00BA313E"/>
    <w:rsid w:val="00BA3C3F"/>
    <w:rsid w:val="00BA468E"/>
    <w:rsid w:val="00BA70FA"/>
    <w:rsid w:val="00BA72DE"/>
    <w:rsid w:val="00BA7BE4"/>
    <w:rsid w:val="00BB0D2E"/>
    <w:rsid w:val="00BB1741"/>
    <w:rsid w:val="00BB1C03"/>
    <w:rsid w:val="00BB2112"/>
    <w:rsid w:val="00BB6817"/>
    <w:rsid w:val="00BB7529"/>
    <w:rsid w:val="00BC102B"/>
    <w:rsid w:val="00BC10FA"/>
    <w:rsid w:val="00BC1614"/>
    <w:rsid w:val="00BC1BD2"/>
    <w:rsid w:val="00BC3EAB"/>
    <w:rsid w:val="00BC3F02"/>
    <w:rsid w:val="00BC444A"/>
    <w:rsid w:val="00BC513B"/>
    <w:rsid w:val="00BC5AB5"/>
    <w:rsid w:val="00BC5BA4"/>
    <w:rsid w:val="00BC6092"/>
    <w:rsid w:val="00BC61D4"/>
    <w:rsid w:val="00BC7007"/>
    <w:rsid w:val="00BC77E0"/>
    <w:rsid w:val="00BC7D91"/>
    <w:rsid w:val="00BD0B00"/>
    <w:rsid w:val="00BD21E6"/>
    <w:rsid w:val="00BD2760"/>
    <w:rsid w:val="00BD2F24"/>
    <w:rsid w:val="00BD4B8C"/>
    <w:rsid w:val="00BD646D"/>
    <w:rsid w:val="00BD67B3"/>
    <w:rsid w:val="00BD68CE"/>
    <w:rsid w:val="00BD6A7A"/>
    <w:rsid w:val="00BD6A9F"/>
    <w:rsid w:val="00BD7125"/>
    <w:rsid w:val="00BD712D"/>
    <w:rsid w:val="00BD7E0F"/>
    <w:rsid w:val="00BE0631"/>
    <w:rsid w:val="00BE0F26"/>
    <w:rsid w:val="00BE1D82"/>
    <w:rsid w:val="00BE2486"/>
    <w:rsid w:val="00BE2A06"/>
    <w:rsid w:val="00BE3D6B"/>
    <w:rsid w:val="00BE78FC"/>
    <w:rsid w:val="00BE7E7D"/>
    <w:rsid w:val="00BE7FA8"/>
    <w:rsid w:val="00BF020A"/>
    <w:rsid w:val="00BF0EC3"/>
    <w:rsid w:val="00BF31DC"/>
    <w:rsid w:val="00BF3DCA"/>
    <w:rsid w:val="00BF4634"/>
    <w:rsid w:val="00BF52DD"/>
    <w:rsid w:val="00BF56EF"/>
    <w:rsid w:val="00BF6825"/>
    <w:rsid w:val="00BF71ED"/>
    <w:rsid w:val="00BF7ABD"/>
    <w:rsid w:val="00C001DC"/>
    <w:rsid w:val="00C02194"/>
    <w:rsid w:val="00C02816"/>
    <w:rsid w:val="00C03690"/>
    <w:rsid w:val="00C04074"/>
    <w:rsid w:val="00C04CA0"/>
    <w:rsid w:val="00C04D8E"/>
    <w:rsid w:val="00C06887"/>
    <w:rsid w:val="00C07E74"/>
    <w:rsid w:val="00C07F9E"/>
    <w:rsid w:val="00C11C7D"/>
    <w:rsid w:val="00C128DE"/>
    <w:rsid w:val="00C129DD"/>
    <w:rsid w:val="00C13C56"/>
    <w:rsid w:val="00C14F39"/>
    <w:rsid w:val="00C174A3"/>
    <w:rsid w:val="00C17714"/>
    <w:rsid w:val="00C178A9"/>
    <w:rsid w:val="00C204F7"/>
    <w:rsid w:val="00C22696"/>
    <w:rsid w:val="00C231FA"/>
    <w:rsid w:val="00C2323D"/>
    <w:rsid w:val="00C23A41"/>
    <w:rsid w:val="00C23CF3"/>
    <w:rsid w:val="00C24A8B"/>
    <w:rsid w:val="00C2524D"/>
    <w:rsid w:val="00C2530A"/>
    <w:rsid w:val="00C26334"/>
    <w:rsid w:val="00C27440"/>
    <w:rsid w:val="00C32318"/>
    <w:rsid w:val="00C32AB1"/>
    <w:rsid w:val="00C32EF3"/>
    <w:rsid w:val="00C34504"/>
    <w:rsid w:val="00C348DB"/>
    <w:rsid w:val="00C36B68"/>
    <w:rsid w:val="00C37BAF"/>
    <w:rsid w:val="00C4026D"/>
    <w:rsid w:val="00C412D0"/>
    <w:rsid w:val="00C4132D"/>
    <w:rsid w:val="00C41A82"/>
    <w:rsid w:val="00C42335"/>
    <w:rsid w:val="00C45243"/>
    <w:rsid w:val="00C46B47"/>
    <w:rsid w:val="00C47A80"/>
    <w:rsid w:val="00C47EBB"/>
    <w:rsid w:val="00C50051"/>
    <w:rsid w:val="00C50337"/>
    <w:rsid w:val="00C5130A"/>
    <w:rsid w:val="00C513D8"/>
    <w:rsid w:val="00C5176E"/>
    <w:rsid w:val="00C5284F"/>
    <w:rsid w:val="00C53162"/>
    <w:rsid w:val="00C531FB"/>
    <w:rsid w:val="00C56555"/>
    <w:rsid w:val="00C565CA"/>
    <w:rsid w:val="00C6119F"/>
    <w:rsid w:val="00C62D9D"/>
    <w:rsid w:val="00C66150"/>
    <w:rsid w:val="00C66171"/>
    <w:rsid w:val="00C6643F"/>
    <w:rsid w:val="00C666C1"/>
    <w:rsid w:val="00C6670C"/>
    <w:rsid w:val="00C66A9E"/>
    <w:rsid w:val="00C673EF"/>
    <w:rsid w:val="00C67C97"/>
    <w:rsid w:val="00C715EC"/>
    <w:rsid w:val="00C71600"/>
    <w:rsid w:val="00C73A51"/>
    <w:rsid w:val="00C74262"/>
    <w:rsid w:val="00C755AC"/>
    <w:rsid w:val="00C762DA"/>
    <w:rsid w:val="00C8074E"/>
    <w:rsid w:val="00C80BFE"/>
    <w:rsid w:val="00C817A4"/>
    <w:rsid w:val="00C8364D"/>
    <w:rsid w:val="00C85C36"/>
    <w:rsid w:val="00C8639C"/>
    <w:rsid w:val="00C8681E"/>
    <w:rsid w:val="00C8728E"/>
    <w:rsid w:val="00C906C9"/>
    <w:rsid w:val="00C9074A"/>
    <w:rsid w:val="00C925F8"/>
    <w:rsid w:val="00C92FDE"/>
    <w:rsid w:val="00C940B5"/>
    <w:rsid w:val="00C955A2"/>
    <w:rsid w:val="00C96D09"/>
    <w:rsid w:val="00CA0414"/>
    <w:rsid w:val="00CA06AE"/>
    <w:rsid w:val="00CA2BBA"/>
    <w:rsid w:val="00CA4608"/>
    <w:rsid w:val="00CA647B"/>
    <w:rsid w:val="00CA6565"/>
    <w:rsid w:val="00CA73AE"/>
    <w:rsid w:val="00CA7EB0"/>
    <w:rsid w:val="00CB0F82"/>
    <w:rsid w:val="00CB2623"/>
    <w:rsid w:val="00CB3391"/>
    <w:rsid w:val="00CB33A2"/>
    <w:rsid w:val="00CB33C7"/>
    <w:rsid w:val="00CB4DBC"/>
    <w:rsid w:val="00CB5090"/>
    <w:rsid w:val="00CB5825"/>
    <w:rsid w:val="00CB7EDD"/>
    <w:rsid w:val="00CC058E"/>
    <w:rsid w:val="00CC0604"/>
    <w:rsid w:val="00CC0D1F"/>
    <w:rsid w:val="00CC1F10"/>
    <w:rsid w:val="00CC2DD9"/>
    <w:rsid w:val="00CC2E79"/>
    <w:rsid w:val="00CC3103"/>
    <w:rsid w:val="00CC31B9"/>
    <w:rsid w:val="00CC528A"/>
    <w:rsid w:val="00CC6128"/>
    <w:rsid w:val="00CC6137"/>
    <w:rsid w:val="00CC63BD"/>
    <w:rsid w:val="00CC7088"/>
    <w:rsid w:val="00CC7E3D"/>
    <w:rsid w:val="00CD081E"/>
    <w:rsid w:val="00CD087E"/>
    <w:rsid w:val="00CD11CB"/>
    <w:rsid w:val="00CD29A0"/>
    <w:rsid w:val="00CD3804"/>
    <w:rsid w:val="00CD6AFC"/>
    <w:rsid w:val="00CE05B9"/>
    <w:rsid w:val="00CE1532"/>
    <w:rsid w:val="00CE23F1"/>
    <w:rsid w:val="00CE2450"/>
    <w:rsid w:val="00CE29EA"/>
    <w:rsid w:val="00CE40C4"/>
    <w:rsid w:val="00CE4657"/>
    <w:rsid w:val="00CE5A53"/>
    <w:rsid w:val="00CE5DC2"/>
    <w:rsid w:val="00CE6E4D"/>
    <w:rsid w:val="00CE75DB"/>
    <w:rsid w:val="00CF0195"/>
    <w:rsid w:val="00CF101E"/>
    <w:rsid w:val="00CF1CF1"/>
    <w:rsid w:val="00CF22F5"/>
    <w:rsid w:val="00CF3A60"/>
    <w:rsid w:val="00CF4D74"/>
    <w:rsid w:val="00CF557C"/>
    <w:rsid w:val="00CF6E8F"/>
    <w:rsid w:val="00D00AA1"/>
    <w:rsid w:val="00D0142F"/>
    <w:rsid w:val="00D023F6"/>
    <w:rsid w:val="00D02E09"/>
    <w:rsid w:val="00D04543"/>
    <w:rsid w:val="00D069DA"/>
    <w:rsid w:val="00D07B5B"/>
    <w:rsid w:val="00D11045"/>
    <w:rsid w:val="00D1147A"/>
    <w:rsid w:val="00D12151"/>
    <w:rsid w:val="00D13325"/>
    <w:rsid w:val="00D15085"/>
    <w:rsid w:val="00D1530F"/>
    <w:rsid w:val="00D16AF3"/>
    <w:rsid w:val="00D171E9"/>
    <w:rsid w:val="00D1765A"/>
    <w:rsid w:val="00D1767C"/>
    <w:rsid w:val="00D179D5"/>
    <w:rsid w:val="00D179E6"/>
    <w:rsid w:val="00D17BEE"/>
    <w:rsid w:val="00D20B8C"/>
    <w:rsid w:val="00D227A5"/>
    <w:rsid w:val="00D22F07"/>
    <w:rsid w:val="00D2541B"/>
    <w:rsid w:val="00D2694B"/>
    <w:rsid w:val="00D26F32"/>
    <w:rsid w:val="00D300D0"/>
    <w:rsid w:val="00D30385"/>
    <w:rsid w:val="00D30A58"/>
    <w:rsid w:val="00D30D16"/>
    <w:rsid w:val="00D31E6D"/>
    <w:rsid w:val="00D33BA9"/>
    <w:rsid w:val="00D34A10"/>
    <w:rsid w:val="00D34C62"/>
    <w:rsid w:val="00D34E09"/>
    <w:rsid w:val="00D35D6E"/>
    <w:rsid w:val="00D3632F"/>
    <w:rsid w:val="00D3673E"/>
    <w:rsid w:val="00D432B6"/>
    <w:rsid w:val="00D4483C"/>
    <w:rsid w:val="00D4571C"/>
    <w:rsid w:val="00D46597"/>
    <w:rsid w:val="00D46FA9"/>
    <w:rsid w:val="00D478A5"/>
    <w:rsid w:val="00D5015D"/>
    <w:rsid w:val="00D510D9"/>
    <w:rsid w:val="00D5173D"/>
    <w:rsid w:val="00D518C0"/>
    <w:rsid w:val="00D52241"/>
    <w:rsid w:val="00D5375C"/>
    <w:rsid w:val="00D5442B"/>
    <w:rsid w:val="00D54783"/>
    <w:rsid w:val="00D54D03"/>
    <w:rsid w:val="00D5559D"/>
    <w:rsid w:val="00D5702F"/>
    <w:rsid w:val="00D57754"/>
    <w:rsid w:val="00D57C2D"/>
    <w:rsid w:val="00D62328"/>
    <w:rsid w:val="00D6243C"/>
    <w:rsid w:val="00D6249A"/>
    <w:rsid w:val="00D70630"/>
    <w:rsid w:val="00D7269D"/>
    <w:rsid w:val="00D72DE3"/>
    <w:rsid w:val="00D73D20"/>
    <w:rsid w:val="00D73F83"/>
    <w:rsid w:val="00D7470D"/>
    <w:rsid w:val="00D769AD"/>
    <w:rsid w:val="00D77896"/>
    <w:rsid w:val="00D80032"/>
    <w:rsid w:val="00D81363"/>
    <w:rsid w:val="00D815E2"/>
    <w:rsid w:val="00D81CDA"/>
    <w:rsid w:val="00D8240B"/>
    <w:rsid w:val="00D827FA"/>
    <w:rsid w:val="00D83651"/>
    <w:rsid w:val="00D84BD3"/>
    <w:rsid w:val="00D84CF8"/>
    <w:rsid w:val="00D84EE9"/>
    <w:rsid w:val="00D85F4B"/>
    <w:rsid w:val="00D86361"/>
    <w:rsid w:val="00D87176"/>
    <w:rsid w:val="00D9025D"/>
    <w:rsid w:val="00D90424"/>
    <w:rsid w:val="00D91107"/>
    <w:rsid w:val="00D91D23"/>
    <w:rsid w:val="00D92230"/>
    <w:rsid w:val="00D92691"/>
    <w:rsid w:val="00D92FFC"/>
    <w:rsid w:val="00D94081"/>
    <w:rsid w:val="00D9513D"/>
    <w:rsid w:val="00D95517"/>
    <w:rsid w:val="00D957C0"/>
    <w:rsid w:val="00D957F3"/>
    <w:rsid w:val="00D95ABF"/>
    <w:rsid w:val="00D95DC0"/>
    <w:rsid w:val="00D95E0D"/>
    <w:rsid w:val="00DA06C9"/>
    <w:rsid w:val="00DA0A14"/>
    <w:rsid w:val="00DA1047"/>
    <w:rsid w:val="00DA2277"/>
    <w:rsid w:val="00DA3468"/>
    <w:rsid w:val="00DA38CE"/>
    <w:rsid w:val="00DA4ADF"/>
    <w:rsid w:val="00DA4B82"/>
    <w:rsid w:val="00DA651F"/>
    <w:rsid w:val="00DA6970"/>
    <w:rsid w:val="00DA6A4A"/>
    <w:rsid w:val="00DA6FFC"/>
    <w:rsid w:val="00DA73BF"/>
    <w:rsid w:val="00DA7B41"/>
    <w:rsid w:val="00DB0D8D"/>
    <w:rsid w:val="00DB10BE"/>
    <w:rsid w:val="00DB1877"/>
    <w:rsid w:val="00DB35A3"/>
    <w:rsid w:val="00DB45E0"/>
    <w:rsid w:val="00DB5B9F"/>
    <w:rsid w:val="00DB6092"/>
    <w:rsid w:val="00DB731B"/>
    <w:rsid w:val="00DC1200"/>
    <w:rsid w:val="00DC13A3"/>
    <w:rsid w:val="00DC1531"/>
    <w:rsid w:val="00DC1592"/>
    <w:rsid w:val="00DC3B8A"/>
    <w:rsid w:val="00DC45C7"/>
    <w:rsid w:val="00DC52F8"/>
    <w:rsid w:val="00DC6556"/>
    <w:rsid w:val="00DC726D"/>
    <w:rsid w:val="00DC7E57"/>
    <w:rsid w:val="00DD1937"/>
    <w:rsid w:val="00DD2053"/>
    <w:rsid w:val="00DD2CF8"/>
    <w:rsid w:val="00DD30B9"/>
    <w:rsid w:val="00DD4219"/>
    <w:rsid w:val="00DD4469"/>
    <w:rsid w:val="00DD4E44"/>
    <w:rsid w:val="00DD5560"/>
    <w:rsid w:val="00DD6219"/>
    <w:rsid w:val="00DD66CA"/>
    <w:rsid w:val="00DE0FAE"/>
    <w:rsid w:val="00DE14A8"/>
    <w:rsid w:val="00DE15B4"/>
    <w:rsid w:val="00DE38AB"/>
    <w:rsid w:val="00DE3B25"/>
    <w:rsid w:val="00DE4EFE"/>
    <w:rsid w:val="00DE5FCC"/>
    <w:rsid w:val="00DE61AD"/>
    <w:rsid w:val="00DE65B7"/>
    <w:rsid w:val="00DE6A75"/>
    <w:rsid w:val="00DE6D9B"/>
    <w:rsid w:val="00DE7873"/>
    <w:rsid w:val="00DE794D"/>
    <w:rsid w:val="00DF076C"/>
    <w:rsid w:val="00DF119B"/>
    <w:rsid w:val="00DF1BA7"/>
    <w:rsid w:val="00DF2863"/>
    <w:rsid w:val="00DF3019"/>
    <w:rsid w:val="00DF3E6C"/>
    <w:rsid w:val="00DF4358"/>
    <w:rsid w:val="00DF4442"/>
    <w:rsid w:val="00DF516D"/>
    <w:rsid w:val="00DF5AB4"/>
    <w:rsid w:val="00DF7017"/>
    <w:rsid w:val="00DF743C"/>
    <w:rsid w:val="00DF7609"/>
    <w:rsid w:val="00DF7697"/>
    <w:rsid w:val="00E008CD"/>
    <w:rsid w:val="00E01CAD"/>
    <w:rsid w:val="00E0273E"/>
    <w:rsid w:val="00E02A65"/>
    <w:rsid w:val="00E02E26"/>
    <w:rsid w:val="00E0434C"/>
    <w:rsid w:val="00E044E3"/>
    <w:rsid w:val="00E044EC"/>
    <w:rsid w:val="00E04E1C"/>
    <w:rsid w:val="00E0677D"/>
    <w:rsid w:val="00E11E7D"/>
    <w:rsid w:val="00E13942"/>
    <w:rsid w:val="00E15F08"/>
    <w:rsid w:val="00E16D31"/>
    <w:rsid w:val="00E21E77"/>
    <w:rsid w:val="00E224B8"/>
    <w:rsid w:val="00E2273D"/>
    <w:rsid w:val="00E22D92"/>
    <w:rsid w:val="00E24BAB"/>
    <w:rsid w:val="00E25C6D"/>
    <w:rsid w:val="00E25CC0"/>
    <w:rsid w:val="00E25DA3"/>
    <w:rsid w:val="00E25FA2"/>
    <w:rsid w:val="00E271F7"/>
    <w:rsid w:val="00E27497"/>
    <w:rsid w:val="00E304CB"/>
    <w:rsid w:val="00E315D0"/>
    <w:rsid w:val="00E31D81"/>
    <w:rsid w:val="00E327F6"/>
    <w:rsid w:val="00E32B7C"/>
    <w:rsid w:val="00E32C01"/>
    <w:rsid w:val="00E32C62"/>
    <w:rsid w:val="00E32D35"/>
    <w:rsid w:val="00E35C97"/>
    <w:rsid w:val="00E36C81"/>
    <w:rsid w:val="00E36D0F"/>
    <w:rsid w:val="00E371F7"/>
    <w:rsid w:val="00E4090D"/>
    <w:rsid w:val="00E412D5"/>
    <w:rsid w:val="00E415D6"/>
    <w:rsid w:val="00E429FC"/>
    <w:rsid w:val="00E437C0"/>
    <w:rsid w:val="00E45270"/>
    <w:rsid w:val="00E45405"/>
    <w:rsid w:val="00E45E6E"/>
    <w:rsid w:val="00E46474"/>
    <w:rsid w:val="00E50A95"/>
    <w:rsid w:val="00E50E08"/>
    <w:rsid w:val="00E51A7D"/>
    <w:rsid w:val="00E52EA1"/>
    <w:rsid w:val="00E5300C"/>
    <w:rsid w:val="00E54D88"/>
    <w:rsid w:val="00E54DD5"/>
    <w:rsid w:val="00E56528"/>
    <w:rsid w:val="00E56778"/>
    <w:rsid w:val="00E611BA"/>
    <w:rsid w:val="00E611CA"/>
    <w:rsid w:val="00E623BF"/>
    <w:rsid w:val="00E63252"/>
    <w:rsid w:val="00E6368B"/>
    <w:rsid w:val="00E63789"/>
    <w:rsid w:val="00E649BF"/>
    <w:rsid w:val="00E65E81"/>
    <w:rsid w:val="00E666AB"/>
    <w:rsid w:val="00E66ED0"/>
    <w:rsid w:val="00E6776C"/>
    <w:rsid w:val="00E67C76"/>
    <w:rsid w:val="00E72F56"/>
    <w:rsid w:val="00E7324C"/>
    <w:rsid w:val="00E73E38"/>
    <w:rsid w:val="00E746B3"/>
    <w:rsid w:val="00E769FB"/>
    <w:rsid w:val="00E773C8"/>
    <w:rsid w:val="00E77584"/>
    <w:rsid w:val="00E82203"/>
    <w:rsid w:val="00E823CC"/>
    <w:rsid w:val="00E83681"/>
    <w:rsid w:val="00E836A3"/>
    <w:rsid w:val="00E838DE"/>
    <w:rsid w:val="00E8396E"/>
    <w:rsid w:val="00E84901"/>
    <w:rsid w:val="00E85240"/>
    <w:rsid w:val="00E85417"/>
    <w:rsid w:val="00E86AF7"/>
    <w:rsid w:val="00E86F94"/>
    <w:rsid w:val="00E87F6D"/>
    <w:rsid w:val="00E90389"/>
    <w:rsid w:val="00E90D2D"/>
    <w:rsid w:val="00E90DF0"/>
    <w:rsid w:val="00E91421"/>
    <w:rsid w:val="00E91DA7"/>
    <w:rsid w:val="00E938D8"/>
    <w:rsid w:val="00E93A4B"/>
    <w:rsid w:val="00E93D2A"/>
    <w:rsid w:val="00E94175"/>
    <w:rsid w:val="00E95526"/>
    <w:rsid w:val="00E9648A"/>
    <w:rsid w:val="00E97D5A"/>
    <w:rsid w:val="00EA0378"/>
    <w:rsid w:val="00EA0CA8"/>
    <w:rsid w:val="00EA1204"/>
    <w:rsid w:val="00EA1466"/>
    <w:rsid w:val="00EA14B5"/>
    <w:rsid w:val="00EA388B"/>
    <w:rsid w:val="00EA5321"/>
    <w:rsid w:val="00EA7AF5"/>
    <w:rsid w:val="00EB07ED"/>
    <w:rsid w:val="00EB0C40"/>
    <w:rsid w:val="00EB111E"/>
    <w:rsid w:val="00EB2448"/>
    <w:rsid w:val="00EB38DD"/>
    <w:rsid w:val="00EB3B28"/>
    <w:rsid w:val="00EB4063"/>
    <w:rsid w:val="00EB4DB0"/>
    <w:rsid w:val="00EB6719"/>
    <w:rsid w:val="00EB6AD2"/>
    <w:rsid w:val="00EB6F86"/>
    <w:rsid w:val="00EB77F1"/>
    <w:rsid w:val="00EB7E13"/>
    <w:rsid w:val="00EC02D7"/>
    <w:rsid w:val="00EC33DA"/>
    <w:rsid w:val="00EC3F98"/>
    <w:rsid w:val="00EC45DE"/>
    <w:rsid w:val="00EC53AC"/>
    <w:rsid w:val="00EC575D"/>
    <w:rsid w:val="00EC7BCF"/>
    <w:rsid w:val="00EC7D20"/>
    <w:rsid w:val="00ED00B9"/>
    <w:rsid w:val="00ED27CF"/>
    <w:rsid w:val="00ED40D1"/>
    <w:rsid w:val="00ED59E3"/>
    <w:rsid w:val="00ED6299"/>
    <w:rsid w:val="00ED6569"/>
    <w:rsid w:val="00ED656F"/>
    <w:rsid w:val="00EE085C"/>
    <w:rsid w:val="00EE0E2D"/>
    <w:rsid w:val="00EE10D8"/>
    <w:rsid w:val="00EE124D"/>
    <w:rsid w:val="00EE13B2"/>
    <w:rsid w:val="00EE1A6B"/>
    <w:rsid w:val="00EE1F8D"/>
    <w:rsid w:val="00EE2288"/>
    <w:rsid w:val="00EE3D6F"/>
    <w:rsid w:val="00EE43CC"/>
    <w:rsid w:val="00EE46F7"/>
    <w:rsid w:val="00EE48E9"/>
    <w:rsid w:val="00EE50FB"/>
    <w:rsid w:val="00EE60C7"/>
    <w:rsid w:val="00EE712D"/>
    <w:rsid w:val="00EE7750"/>
    <w:rsid w:val="00EF00D1"/>
    <w:rsid w:val="00EF043B"/>
    <w:rsid w:val="00EF04F7"/>
    <w:rsid w:val="00EF12C3"/>
    <w:rsid w:val="00EF19BA"/>
    <w:rsid w:val="00EF2ED6"/>
    <w:rsid w:val="00EF4E1C"/>
    <w:rsid w:val="00EF5398"/>
    <w:rsid w:val="00EF54B4"/>
    <w:rsid w:val="00EF6959"/>
    <w:rsid w:val="00EF719A"/>
    <w:rsid w:val="00F005BD"/>
    <w:rsid w:val="00F00E77"/>
    <w:rsid w:val="00F01C6D"/>
    <w:rsid w:val="00F03275"/>
    <w:rsid w:val="00F03D43"/>
    <w:rsid w:val="00F0429D"/>
    <w:rsid w:val="00F0499A"/>
    <w:rsid w:val="00F04CBE"/>
    <w:rsid w:val="00F0593E"/>
    <w:rsid w:val="00F05D72"/>
    <w:rsid w:val="00F101BA"/>
    <w:rsid w:val="00F10487"/>
    <w:rsid w:val="00F10C6C"/>
    <w:rsid w:val="00F1124D"/>
    <w:rsid w:val="00F115F1"/>
    <w:rsid w:val="00F125F8"/>
    <w:rsid w:val="00F145DF"/>
    <w:rsid w:val="00F15DB5"/>
    <w:rsid w:val="00F1707D"/>
    <w:rsid w:val="00F17CAF"/>
    <w:rsid w:val="00F17E9A"/>
    <w:rsid w:val="00F23597"/>
    <w:rsid w:val="00F239BC"/>
    <w:rsid w:val="00F23BF8"/>
    <w:rsid w:val="00F24043"/>
    <w:rsid w:val="00F248E8"/>
    <w:rsid w:val="00F24929"/>
    <w:rsid w:val="00F260E3"/>
    <w:rsid w:val="00F2657E"/>
    <w:rsid w:val="00F26F22"/>
    <w:rsid w:val="00F27148"/>
    <w:rsid w:val="00F30A2E"/>
    <w:rsid w:val="00F30EDD"/>
    <w:rsid w:val="00F3136F"/>
    <w:rsid w:val="00F31FE7"/>
    <w:rsid w:val="00F32825"/>
    <w:rsid w:val="00F32EDC"/>
    <w:rsid w:val="00F34AB4"/>
    <w:rsid w:val="00F34CB5"/>
    <w:rsid w:val="00F357D7"/>
    <w:rsid w:val="00F35C5C"/>
    <w:rsid w:val="00F36DB7"/>
    <w:rsid w:val="00F40036"/>
    <w:rsid w:val="00F400C0"/>
    <w:rsid w:val="00F41B3D"/>
    <w:rsid w:val="00F41E77"/>
    <w:rsid w:val="00F42248"/>
    <w:rsid w:val="00F42E1F"/>
    <w:rsid w:val="00F43597"/>
    <w:rsid w:val="00F43E76"/>
    <w:rsid w:val="00F447B6"/>
    <w:rsid w:val="00F459F0"/>
    <w:rsid w:val="00F45A17"/>
    <w:rsid w:val="00F45AC6"/>
    <w:rsid w:val="00F45D21"/>
    <w:rsid w:val="00F45E65"/>
    <w:rsid w:val="00F46754"/>
    <w:rsid w:val="00F46AF6"/>
    <w:rsid w:val="00F46F7B"/>
    <w:rsid w:val="00F47ACF"/>
    <w:rsid w:val="00F51FB5"/>
    <w:rsid w:val="00F520EA"/>
    <w:rsid w:val="00F5284F"/>
    <w:rsid w:val="00F52902"/>
    <w:rsid w:val="00F53EA6"/>
    <w:rsid w:val="00F544B5"/>
    <w:rsid w:val="00F54B69"/>
    <w:rsid w:val="00F5687A"/>
    <w:rsid w:val="00F56F53"/>
    <w:rsid w:val="00F57C79"/>
    <w:rsid w:val="00F60E1B"/>
    <w:rsid w:val="00F6121A"/>
    <w:rsid w:val="00F62284"/>
    <w:rsid w:val="00F638DB"/>
    <w:rsid w:val="00F65E0E"/>
    <w:rsid w:val="00F663D6"/>
    <w:rsid w:val="00F66547"/>
    <w:rsid w:val="00F6721E"/>
    <w:rsid w:val="00F71E0F"/>
    <w:rsid w:val="00F72D2A"/>
    <w:rsid w:val="00F72F68"/>
    <w:rsid w:val="00F742F2"/>
    <w:rsid w:val="00F74719"/>
    <w:rsid w:val="00F74949"/>
    <w:rsid w:val="00F74A08"/>
    <w:rsid w:val="00F74D32"/>
    <w:rsid w:val="00F7557A"/>
    <w:rsid w:val="00F75EFF"/>
    <w:rsid w:val="00F773A2"/>
    <w:rsid w:val="00F77C62"/>
    <w:rsid w:val="00F800BB"/>
    <w:rsid w:val="00F8086A"/>
    <w:rsid w:val="00F81195"/>
    <w:rsid w:val="00F812BE"/>
    <w:rsid w:val="00F8156D"/>
    <w:rsid w:val="00F8178E"/>
    <w:rsid w:val="00F81A2A"/>
    <w:rsid w:val="00F832C7"/>
    <w:rsid w:val="00F83489"/>
    <w:rsid w:val="00F84326"/>
    <w:rsid w:val="00F84F17"/>
    <w:rsid w:val="00F85BDF"/>
    <w:rsid w:val="00F861E3"/>
    <w:rsid w:val="00F90B1E"/>
    <w:rsid w:val="00F91C78"/>
    <w:rsid w:val="00F91CCE"/>
    <w:rsid w:val="00F931E7"/>
    <w:rsid w:val="00F942E0"/>
    <w:rsid w:val="00F94686"/>
    <w:rsid w:val="00F96F2F"/>
    <w:rsid w:val="00F96F6F"/>
    <w:rsid w:val="00FA01BA"/>
    <w:rsid w:val="00FA11B9"/>
    <w:rsid w:val="00FA11C4"/>
    <w:rsid w:val="00FA29BA"/>
    <w:rsid w:val="00FA3608"/>
    <w:rsid w:val="00FA4360"/>
    <w:rsid w:val="00FA60AF"/>
    <w:rsid w:val="00FA70C2"/>
    <w:rsid w:val="00FA77A7"/>
    <w:rsid w:val="00FB010F"/>
    <w:rsid w:val="00FB1799"/>
    <w:rsid w:val="00FB21C7"/>
    <w:rsid w:val="00FB2A05"/>
    <w:rsid w:val="00FB2DF8"/>
    <w:rsid w:val="00FB3F2A"/>
    <w:rsid w:val="00FB4779"/>
    <w:rsid w:val="00FB4931"/>
    <w:rsid w:val="00FB53FF"/>
    <w:rsid w:val="00FB6D5B"/>
    <w:rsid w:val="00FC096C"/>
    <w:rsid w:val="00FC10A1"/>
    <w:rsid w:val="00FC390C"/>
    <w:rsid w:val="00FC5AE1"/>
    <w:rsid w:val="00FC61F9"/>
    <w:rsid w:val="00FC6F15"/>
    <w:rsid w:val="00FC720D"/>
    <w:rsid w:val="00FC79FF"/>
    <w:rsid w:val="00FD05AF"/>
    <w:rsid w:val="00FD0FC5"/>
    <w:rsid w:val="00FD1CFA"/>
    <w:rsid w:val="00FD3006"/>
    <w:rsid w:val="00FD34AB"/>
    <w:rsid w:val="00FD415E"/>
    <w:rsid w:val="00FD4321"/>
    <w:rsid w:val="00FD4AAC"/>
    <w:rsid w:val="00FD4FBB"/>
    <w:rsid w:val="00FD52C2"/>
    <w:rsid w:val="00FD6188"/>
    <w:rsid w:val="00FD6451"/>
    <w:rsid w:val="00FD6464"/>
    <w:rsid w:val="00FD6D06"/>
    <w:rsid w:val="00FD7073"/>
    <w:rsid w:val="00FD714C"/>
    <w:rsid w:val="00FD74D5"/>
    <w:rsid w:val="00FE1F6E"/>
    <w:rsid w:val="00FE2A3E"/>
    <w:rsid w:val="00FE2DD4"/>
    <w:rsid w:val="00FE31F4"/>
    <w:rsid w:val="00FE383D"/>
    <w:rsid w:val="00FE39F3"/>
    <w:rsid w:val="00FE4030"/>
    <w:rsid w:val="00FE4AB5"/>
    <w:rsid w:val="00FE5EB4"/>
    <w:rsid w:val="00FE77ED"/>
    <w:rsid w:val="00FF0F14"/>
    <w:rsid w:val="00FF1198"/>
    <w:rsid w:val="00FF132D"/>
    <w:rsid w:val="00FF1525"/>
    <w:rsid w:val="00FF1B7C"/>
    <w:rsid w:val="00FF2F0D"/>
    <w:rsid w:val="00FF3341"/>
    <w:rsid w:val="00FF3B6C"/>
    <w:rsid w:val="00FF4078"/>
    <w:rsid w:val="00FF4109"/>
    <w:rsid w:val="00FF4F66"/>
    <w:rsid w:val="00FF5BFE"/>
    <w:rsid w:val="00FF70A7"/>
    <w:rsid w:val="00FF7A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34"/>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Encabezado C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Pie de página C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Texto independiente 2 Car"/>
    <w:link w:val="Textoindependiente2"/>
    <w:semiHidden/>
    <w:rsid w:val="0085183B"/>
    <w:rPr>
      <w:rFonts w:ascii="Arial" w:eastAsia="Times New Roman" w:hAnsi="Arial" w:cs="Arial"/>
      <w:b/>
      <w:bCs/>
      <w:szCs w:val="24"/>
    </w:rPr>
  </w:style>
  <w:style w:type="paragraph" w:styleId="Sinespaciado">
    <w:name w:val="No Spacing"/>
    <w:link w:val="SinespaciadoCar"/>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customStyle="1" w:styleId="Cuadrculaclara-nfasis11">
    <w:name w:val="Cuadrícula clara - Énfasis 1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inespaciadoCar">
    <w:name w:val="Sin espaciado Car"/>
    <w:basedOn w:val="Fuentedeprrafopredeter"/>
    <w:link w:val="Sinespaciado"/>
    <w:uiPriority w:val="1"/>
    <w:rsid w:val="00AD72F8"/>
    <w:rPr>
      <w:sz w:val="22"/>
      <w:szCs w:val="22"/>
      <w:lang w:eastAsia="en-US"/>
    </w:rPr>
  </w:style>
  <w:style w:type="character" w:customStyle="1" w:styleId="st">
    <w:name w:val="st"/>
    <w:basedOn w:val="Fuentedeprrafopredeter"/>
    <w:rsid w:val="00806598"/>
  </w:style>
  <w:style w:type="table" w:styleId="Listavistosa-nfasis4">
    <w:name w:val="Colorful List Accent 4"/>
    <w:basedOn w:val="Tablanormal"/>
    <w:uiPriority w:val="72"/>
    <w:rsid w:val="008D3223"/>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3752"/>
    <w:rPr>
      <w:rFonts w:cs="Times New Roman"/>
      <w:color w:val="0000FF"/>
      <w:u w:val="single"/>
    </w:rPr>
  </w:style>
  <w:style w:type="paragraph" w:styleId="ListParagraph">
    <w:name w:val="List Paragraph"/>
    <w:basedOn w:val="Normal"/>
    <w:uiPriority w:val="99"/>
    <w:qFormat/>
    <w:rsid w:val="00403752"/>
    <w:pPr>
      <w:ind w:left="720"/>
      <w:contextualSpacing/>
    </w:pPr>
  </w:style>
  <w:style w:type="paragraph" w:styleId="Header">
    <w:name w:val="header"/>
    <w:basedOn w:val="Normal"/>
    <w:link w:val="HeaderChar"/>
    <w:uiPriority w:val="99"/>
    <w:rsid w:val="00403752"/>
    <w:pPr>
      <w:tabs>
        <w:tab w:val="center" w:pos="4419"/>
        <w:tab w:val="right" w:pos="8838"/>
      </w:tabs>
      <w:spacing w:after="0" w:line="240" w:lineRule="auto"/>
    </w:pPr>
  </w:style>
  <w:style w:type="character" w:customStyle="1" w:styleId="HeaderChar">
    <w:name w:val="Header Char"/>
    <w:link w:val="Header"/>
    <w:uiPriority w:val="99"/>
    <w:rsid w:val="00403752"/>
    <w:rPr>
      <w:rFonts w:ascii="Calibri" w:eastAsia="Calibri" w:hAnsi="Calibri" w:cs="Times New Roman"/>
    </w:rPr>
  </w:style>
  <w:style w:type="paragraph" w:styleId="Footer">
    <w:name w:val="footer"/>
    <w:basedOn w:val="Normal"/>
    <w:link w:val="FooterChar"/>
    <w:uiPriority w:val="99"/>
    <w:rsid w:val="00403752"/>
    <w:pPr>
      <w:tabs>
        <w:tab w:val="center" w:pos="4419"/>
        <w:tab w:val="right" w:pos="8838"/>
      </w:tabs>
      <w:spacing w:after="0" w:line="240" w:lineRule="auto"/>
    </w:pPr>
  </w:style>
  <w:style w:type="character" w:customStyle="1" w:styleId="FooterChar">
    <w:name w:val="Footer Char"/>
    <w:link w:val="Footer"/>
    <w:uiPriority w:val="99"/>
    <w:rsid w:val="00403752"/>
    <w:rPr>
      <w:rFonts w:ascii="Calibri" w:eastAsia="Calibri" w:hAnsi="Calibri" w:cs="Times New Roman"/>
    </w:rPr>
  </w:style>
  <w:style w:type="paragraph" w:styleId="BalloonText">
    <w:name w:val="Balloon Text"/>
    <w:basedOn w:val="Normal"/>
    <w:link w:val="BalloonTextChar"/>
    <w:uiPriority w:val="99"/>
    <w:semiHidden/>
    <w:unhideWhenUsed/>
    <w:rsid w:val="004037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3752"/>
    <w:rPr>
      <w:rFonts w:ascii="Tahoma" w:eastAsia="Calibri" w:hAnsi="Tahoma" w:cs="Tahoma"/>
      <w:sz w:val="16"/>
      <w:szCs w:val="16"/>
    </w:rPr>
  </w:style>
  <w:style w:type="paragraph" w:styleId="BodyText">
    <w:name w:val="Body Text"/>
    <w:basedOn w:val="Normal"/>
    <w:link w:val="BodyTextCh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BodyTextChar">
    <w:name w:val="Body Text Char"/>
    <w:link w:val="BodyText"/>
    <w:rsid w:val="0085183B"/>
    <w:rPr>
      <w:rFonts w:ascii="Times New Roman" w:eastAsia="Times New Roman" w:hAnsi="Times New Roman" w:cs="Times New Roman"/>
      <w:sz w:val="24"/>
      <w:szCs w:val="24"/>
      <w:lang w:eastAsia="es-ES"/>
    </w:rPr>
  </w:style>
  <w:style w:type="paragraph" w:styleId="BodyText2">
    <w:name w:val="Body Text 2"/>
    <w:basedOn w:val="Normal"/>
    <w:link w:val="BodyText2Char"/>
    <w:semiHidden/>
    <w:unhideWhenUsed/>
    <w:rsid w:val="0085183B"/>
    <w:pPr>
      <w:spacing w:after="0" w:line="240" w:lineRule="auto"/>
    </w:pPr>
    <w:rPr>
      <w:rFonts w:ascii="Arial" w:eastAsia="Times New Roman" w:hAnsi="Arial" w:cs="Arial"/>
      <w:b/>
      <w:bCs/>
      <w:szCs w:val="24"/>
    </w:rPr>
  </w:style>
  <w:style w:type="character" w:customStyle="1" w:styleId="BodyText2Char">
    <w:name w:val="Body Text 2 Char"/>
    <w:link w:val="BodyText2"/>
    <w:semiHidden/>
    <w:rsid w:val="0085183B"/>
    <w:rPr>
      <w:rFonts w:ascii="Arial" w:eastAsia="Times New Roman" w:hAnsi="Arial" w:cs="Arial"/>
      <w:b/>
      <w:bCs/>
      <w:szCs w:val="24"/>
    </w:rPr>
  </w:style>
  <w:style w:type="paragraph" w:styleId="NoSpacing">
    <w:name w:val="No Spacing"/>
    <w:link w:val="NoSpacingChar"/>
    <w:uiPriority w:val="1"/>
    <w:qFormat/>
    <w:rsid w:val="00267AC1"/>
    <w:rPr>
      <w:sz w:val="22"/>
      <w:szCs w:val="22"/>
      <w:lang w:eastAsia="en-US"/>
    </w:rPr>
  </w:style>
  <w:style w:type="table" w:styleId="TableGrid">
    <w:name w:val="Table Grid"/>
    <w:basedOn w:val="Table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Emph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DefaultParagraphFont"/>
    <w:rsid w:val="001C7E67"/>
  </w:style>
  <w:style w:type="table" w:styleId="LightGrid-Accent1">
    <w:name w:val="Light Grid Accent 1"/>
    <w:basedOn w:val="Table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oSpacingChar">
    <w:name w:val="No Spacing Char"/>
    <w:basedOn w:val="DefaultParagraphFont"/>
    <w:link w:val="NoSpacing"/>
    <w:uiPriority w:val="1"/>
    <w:rsid w:val="00AD72F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3282450">
      <w:bodyDiv w:val="1"/>
      <w:marLeft w:val="0"/>
      <w:marRight w:val="0"/>
      <w:marTop w:val="0"/>
      <w:marBottom w:val="0"/>
      <w:divBdr>
        <w:top w:val="none" w:sz="0" w:space="0" w:color="auto"/>
        <w:left w:val="none" w:sz="0" w:space="0" w:color="auto"/>
        <w:bottom w:val="none" w:sz="0" w:space="0" w:color="auto"/>
        <w:right w:val="none" w:sz="0" w:space="0" w:color="auto"/>
      </w:divBdr>
    </w:div>
    <w:div w:id="199755613">
      <w:bodyDiv w:val="1"/>
      <w:marLeft w:val="0"/>
      <w:marRight w:val="0"/>
      <w:marTop w:val="0"/>
      <w:marBottom w:val="0"/>
      <w:divBdr>
        <w:top w:val="none" w:sz="0" w:space="0" w:color="auto"/>
        <w:left w:val="none" w:sz="0" w:space="0" w:color="auto"/>
        <w:bottom w:val="none" w:sz="0" w:space="0" w:color="auto"/>
        <w:right w:val="none" w:sz="0" w:space="0" w:color="auto"/>
      </w:divBdr>
    </w:div>
    <w:div w:id="631059521">
      <w:bodyDiv w:val="1"/>
      <w:marLeft w:val="0"/>
      <w:marRight w:val="0"/>
      <w:marTop w:val="0"/>
      <w:marBottom w:val="0"/>
      <w:divBdr>
        <w:top w:val="none" w:sz="0" w:space="0" w:color="auto"/>
        <w:left w:val="none" w:sz="0" w:space="0" w:color="auto"/>
        <w:bottom w:val="none" w:sz="0" w:space="0" w:color="auto"/>
        <w:right w:val="none" w:sz="0" w:space="0" w:color="auto"/>
      </w:divBdr>
    </w:div>
    <w:div w:id="805007393">
      <w:bodyDiv w:val="1"/>
      <w:marLeft w:val="0"/>
      <w:marRight w:val="0"/>
      <w:marTop w:val="0"/>
      <w:marBottom w:val="0"/>
      <w:divBdr>
        <w:top w:val="none" w:sz="0" w:space="0" w:color="auto"/>
        <w:left w:val="none" w:sz="0" w:space="0" w:color="auto"/>
        <w:bottom w:val="none" w:sz="0" w:space="0" w:color="auto"/>
        <w:right w:val="none" w:sz="0" w:space="0" w:color="auto"/>
      </w:divBdr>
    </w:div>
    <w:div w:id="1029986360">
      <w:bodyDiv w:val="1"/>
      <w:marLeft w:val="0"/>
      <w:marRight w:val="0"/>
      <w:marTop w:val="0"/>
      <w:marBottom w:val="0"/>
      <w:divBdr>
        <w:top w:val="none" w:sz="0" w:space="0" w:color="auto"/>
        <w:left w:val="none" w:sz="0" w:space="0" w:color="auto"/>
        <w:bottom w:val="none" w:sz="0" w:space="0" w:color="auto"/>
        <w:right w:val="none" w:sz="0" w:space="0" w:color="auto"/>
      </w:divBdr>
    </w:div>
    <w:div w:id="1065638948">
      <w:bodyDiv w:val="1"/>
      <w:marLeft w:val="0"/>
      <w:marRight w:val="0"/>
      <w:marTop w:val="0"/>
      <w:marBottom w:val="0"/>
      <w:divBdr>
        <w:top w:val="none" w:sz="0" w:space="0" w:color="auto"/>
        <w:left w:val="none" w:sz="0" w:space="0" w:color="auto"/>
        <w:bottom w:val="none" w:sz="0" w:space="0" w:color="auto"/>
        <w:right w:val="none" w:sz="0" w:space="0" w:color="auto"/>
      </w:divBdr>
    </w:div>
    <w:div w:id="1175995685">
      <w:bodyDiv w:val="1"/>
      <w:marLeft w:val="0"/>
      <w:marRight w:val="0"/>
      <w:marTop w:val="0"/>
      <w:marBottom w:val="0"/>
      <w:divBdr>
        <w:top w:val="none" w:sz="0" w:space="0" w:color="auto"/>
        <w:left w:val="none" w:sz="0" w:space="0" w:color="auto"/>
        <w:bottom w:val="none" w:sz="0" w:space="0" w:color="auto"/>
        <w:right w:val="none" w:sz="0" w:space="0" w:color="auto"/>
      </w:divBdr>
    </w:div>
    <w:div w:id="1372420559">
      <w:bodyDiv w:val="1"/>
      <w:marLeft w:val="0"/>
      <w:marRight w:val="0"/>
      <w:marTop w:val="0"/>
      <w:marBottom w:val="0"/>
      <w:divBdr>
        <w:top w:val="none" w:sz="0" w:space="0" w:color="auto"/>
        <w:left w:val="none" w:sz="0" w:space="0" w:color="auto"/>
        <w:bottom w:val="none" w:sz="0" w:space="0" w:color="auto"/>
        <w:right w:val="none" w:sz="0" w:space="0" w:color="auto"/>
      </w:divBdr>
    </w:div>
    <w:div w:id="1742870503">
      <w:bodyDiv w:val="1"/>
      <w:marLeft w:val="0"/>
      <w:marRight w:val="0"/>
      <w:marTop w:val="0"/>
      <w:marBottom w:val="0"/>
      <w:divBdr>
        <w:top w:val="none" w:sz="0" w:space="0" w:color="auto"/>
        <w:left w:val="none" w:sz="0" w:space="0" w:color="auto"/>
        <w:bottom w:val="none" w:sz="0" w:space="0" w:color="auto"/>
        <w:right w:val="none" w:sz="0" w:space="0" w:color="auto"/>
      </w:divBdr>
    </w:div>
    <w:div w:id="19863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9E8F-FBCA-462E-9DB3-62E8FBD4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7</Pages>
  <Words>1675</Words>
  <Characters>9216</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10870</CharactersWithSpaces>
  <SharedDoc>false</SharedDoc>
  <HLinks>
    <vt:vector size="24" baseType="variant">
      <vt:variant>
        <vt:i4>2818084</vt:i4>
      </vt:variant>
      <vt:variant>
        <vt:i4>6</vt:i4>
      </vt:variant>
      <vt:variant>
        <vt:i4>0</vt:i4>
      </vt:variant>
      <vt:variant>
        <vt:i4>5</vt:i4>
      </vt:variant>
      <vt:variant>
        <vt:lpwstr>http://www.iepcbc.org.mx/transparencia/solicitudes/4T-2011.pdf</vt:lpwstr>
      </vt:variant>
      <vt:variant>
        <vt:lpwstr/>
      </vt:variant>
      <vt:variant>
        <vt:i4>7602280</vt:i4>
      </vt:variant>
      <vt:variant>
        <vt:i4>3</vt:i4>
      </vt:variant>
      <vt:variant>
        <vt:i4>0</vt:i4>
      </vt:variant>
      <vt:variant>
        <vt:i4>5</vt:i4>
      </vt:variant>
      <vt:variant>
        <vt:lpwstr>http://www.iepcbc.org.mx/solicitudes2012-3.php</vt:lpwstr>
      </vt:variant>
      <vt:variant>
        <vt:lpwstr/>
      </vt:variant>
      <vt:variant>
        <vt:i4>3801120</vt:i4>
      </vt:variant>
      <vt:variant>
        <vt:i4>0</vt:i4>
      </vt:variant>
      <vt:variant>
        <vt:i4>0</vt:i4>
      </vt:variant>
      <vt:variant>
        <vt:i4>5</vt:i4>
      </vt:variant>
      <vt:variant>
        <vt:lpwstr>http://www.iepcbc.org.mx/transparencia.php</vt:lpwstr>
      </vt:variant>
      <vt:variant>
        <vt:lpwstr/>
      </vt:variant>
      <vt:variant>
        <vt:i4>7995429</vt:i4>
      </vt:variant>
      <vt:variant>
        <vt:i4>0</vt:i4>
      </vt:variant>
      <vt:variant>
        <vt:i4>0</vt:i4>
      </vt:variant>
      <vt:variant>
        <vt:i4>5</vt:i4>
      </vt:variant>
      <vt:variant>
        <vt:lpwstr>http://www.itaipbc.org.mx/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Auxiliar Evaluacin</cp:lastModifiedBy>
  <cp:revision>99</cp:revision>
  <cp:lastPrinted>2015-02-19T19:53:00Z</cp:lastPrinted>
  <dcterms:created xsi:type="dcterms:W3CDTF">2014-07-08T20:19:00Z</dcterms:created>
  <dcterms:modified xsi:type="dcterms:W3CDTF">2015-02-19T19:54:00Z</dcterms:modified>
</cp:coreProperties>
</file>