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1234D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51234D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822B94" w:rsidRPr="0051234D" w:rsidRDefault="00F76FB8" w:rsidP="00740A0B">
      <w:pPr>
        <w:jc w:val="center"/>
        <w:rPr>
          <w:rStyle w:val="titulosh"/>
          <w:b/>
        </w:rPr>
      </w:pPr>
      <w:r w:rsidRPr="0051234D">
        <w:rPr>
          <w:rStyle w:val="titulosh"/>
          <w:b/>
        </w:rPr>
        <w:t>SISTEMA PARA EL DESARROLLO INTEGRAL DE LA FAMILIA</w:t>
      </w:r>
    </w:p>
    <w:p w:rsidR="0019659A" w:rsidRDefault="0019659A" w:rsidP="0019659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1RA. EVALUACIÓN 2015</w:t>
      </w:r>
    </w:p>
    <w:p w:rsidR="00F15373" w:rsidRPr="0051234D" w:rsidRDefault="00F15373" w:rsidP="00F15373">
      <w:pPr>
        <w:jc w:val="center"/>
        <w:rPr>
          <w:rFonts w:cs="Calibri"/>
          <w:b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51234D">
        <w:rPr>
          <w:rFonts w:cs="Calibri"/>
          <w:b/>
          <w:szCs w:val="20"/>
        </w:rPr>
        <w:t xml:space="preserve">Artículo 11.- Los sujetos obligados deberán, de oficio, poner a disposición del público, la siguiente </w:t>
      </w:r>
      <w:r w:rsidRPr="001B3E37">
        <w:rPr>
          <w:rFonts w:cs="Calibri"/>
          <w:b/>
          <w:szCs w:val="20"/>
        </w:rPr>
        <w:t>información: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C60092" w:rsidRPr="001B3E37" w:rsidRDefault="00C60092" w:rsidP="00C60092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fracción.</w:t>
      </w:r>
    </w:p>
    <w:p w:rsidR="002B33DE" w:rsidRPr="001B3E37" w:rsidRDefault="002B33DE" w:rsidP="00F15373">
      <w:pPr>
        <w:jc w:val="both"/>
        <w:rPr>
          <w:rFonts w:cs="Calibri"/>
          <w:b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II.- Su estructura orgánica;</w:t>
      </w:r>
    </w:p>
    <w:p w:rsidR="00F30A5B" w:rsidRPr="001B3E37" w:rsidRDefault="00F30A5B" w:rsidP="00F30A5B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fracción.</w:t>
      </w:r>
    </w:p>
    <w:p w:rsidR="00701E24" w:rsidRPr="001B3E37" w:rsidRDefault="00701E24" w:rsidP="00F30A5B">
      <w:pPr>
        <w:jc w:val="both"/>
        <w:rPr>
          <w:rFonts w:cs="Calibri"/>
          <w:szCs w:val="20"/>
        </w:rPr>
      </w:pPr>
    </w:p>
    <w:p w:rsidR="004A6EAC" w:rsidRPr="001B3E37" w:rsidRDefault="00F15373" w:rsidP="006E3701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77F84" w:rsidRPr="001B3E37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1B3E37">
        <w:rPr>
          <w:rFonts w:cs="Calibri"/>
          <w:szCs w:val="20"/>
        </w:rPr>
        <w:t>e la entidad</w:t>
      </w:r>
      <w:r w:rsidR="00D77F84" w:rsidRPr="001B3E37">
        <w:rPr>
          <w:rFonts w:cs="Calibri"/>
          <w:szCs w:val="20"/>
        </w:rPr>
        <w:t>.</w:t>
      </w:r>
      <w:r w:rsidR="00933042" w:rsidRPr="001B3E37">
        <w:rPr>
          <w:rFonts w:cs="Calibri"/>
          <w:b/>
          <w:szCs w:val="20"/>
        </w:rPr>
        <w:t xml:space="preserve"> </w:t>
      </w:r>
      <w:r w:rsidR="00F71DE7" w:rsidRPr="001B3E37">
        <w:rPr>
          <w:rFonts w:cs="Calibri"/>
          <w:szCs w:val="20"/>
        </w:rPr>
        <w:t xml:space="preserve">Toda vez que en la revisión no se encontró quien preside el puesto de Presidente del </w:t>
      </w:r>
      <w:r w:rsidR="00F76FB8" w:rsidRPr="001B3E37">
        <w:rPr>
          <w:rFonts w:cs="Calibri"/>
          <w:szCs w:val="20"/>
        </w:rPr>
        <w:t>S</w:t>
      </w:r>
      <w:r w:rsidR="00F71DE7" w:rsidRPr="001B3E37">
        <w:rPr>
          <w:rFonts w:cs="Calibri"/>
          <w:szCs w:val="20"/>
        </w:rPr>
        <w:t>istema Estatal DIF Baja California.</w:t>
      </w:r>
      <w:r w:rsidR="003A3E12" w:rsidRPr="001B3E37">
        <w:rPr>
          <w:rFonts w:cs="Calibri"/>
          <w:szCs w:val="20"/>
        </w:rPr>
        <w:t xml:space="preserve">             </w:t>
      </w:r>
      <w:r w:rsidR="003A3E12" w:rsidRPr="001B3E37">
        <w:rPr>
          <w:rFonts w:cs="Calibri"/>
          <w:b/>
          <w:szCs w:val="20"/>
        </w:rPr>
        <w:t>NO ATENDIDA</w:t>
      </w:r>
    </w:p>
    <w:p w:rsidR="004A6EAC" w:rsidRPr="001B3E37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1B3E37" w:rsidRDefault="00135CCF" w:rsidP="00135CCF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160BFD" w:rsidRPr="001B3E37" w:rsidRDefault="00160BFD" w:rsidP="00160BFD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fracción.</w:t>
      </w:r>
    </w:p>
    <w:p w:rsidR="00701E24" w:rsidRPr="001B3E37" w:rsidRDefault="00701E24" w:rsidP="00135CCF">
      <w:pPr>
        <w:jc w:val="both"/>
        <w:rPr>
          <w:rFonts w:cs="Calibri"/>
          <w:b/>
          <w:szCs w:val="20"/>
        </w:rPr>
      </w:pPr>
    </w:p>
    <w:p w:rsidR="00701E24" w:rsidRPr="001B3E37" w:rsidRDefault="00701E24" w:rsidP="00701E24">
      <w:pPr>
        <w:jc w:val="both"/>
        <w:rPr>
          <w:rFonts w:cs="Calibri"/>
          <w:sz w:val="18"/>
          <w:szCs w:val="20"/>
        </w:rPr>
      </w:pPr>
      <w:r w:rsidRPr="001B3E37">
        <w:rPr>
          <w:rFonts w:cs="Calibri"/>
          <w:b/>
          <w:sz w:val="18"/>
          <w:szCs w:val="20"/>
        </w:rPr>
        <w:t>NOTA</w:t>
      </w:r>
      <w:r w:rsidRPr="001B3E37">
        <w:rPr>
          <w:rFonts w:cs="Calibri"/>
          <w:sz w:val="18"/>
          <w:szCs w:val="20"/>
        </w:rPr>
        <w:t xml:space="preserve">: Con base en la Guía Referencial de Criterios para la Interpretación y Evaluación de la Información </w:t>
      </w:r>
      <w:r w:rsidR="001B3E37" w:rsidRPr="001B3E37">
        <w:rPr>
          <w:rFonts w:cs="Calibri"/>
          <w:sz w:val="18"/>
          <w:szCs w:val="20"/>
        </w:rPr>
        <w:t>Pública</w:t>
      </w:r>
      <w:r w:rsidRPr="001B3E37">
        <w:rPr>
          <w:rFonts w:cs="Calibri"/>
          <w:sz w:val="18"/>
          <w:szCs w:val="20"/>
        </w:rPr>
        <w:t xml:space="preserve"> de Oficio señalada en el Articulo 11 de la LTAIPBC.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b).- Objeto de las solicitudes;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1B3E37" w:rsidRDefault="00515D33" w:rsidP="000B45A9">
      <w:pPr>
        <w:pStyle w:val="Sinespaciado"/>
      </w:pPr>
      <w:r w:rsidRPr="001B3E37">
        <w:t>No se emiten recomendaciones respecto a esta fracción.</w:t>
      </w:r>
    </w:p>
    <w:p w:rsidR="00BC4896" w:rsidRPr="001B3E37" w:rsidRDefault="00BC4896" w:rsidP="000B45A9">
      <w:pPr>
        <w:pStyle w:val="Sinespaciado"/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77F84" w:rsidRPr="001B3E37" w:rsidRDefault="00D77F84" w:rsidP="004E0495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 xml:space="preserve">Se </w:t>
      </w:r>
      <w:r w:rsidR="004E0495" w:rsidRPr="001B3E37">
        <w:rPr>
          <w:rFonts w:cs="Calibri"/>
          <w:szCs w:val="20"/>
        </w:rPr>
        <w:t>recomienda p</w:t>
      </w:r>
      <w:r w:rsidRPr="001B3E37">
        <w:rPr>
          <w:rFonts w:cs="Calibri"/>
          <w:szCs w:val="20"/>
        </w:rPr>
        <w:t>ublicar información que incluya la totalidad de servidores públicos desde el nivel de jefe de departamento o sus equivalentes, hasta el nivel del funcionario de mayor jerarquía.</w:t>
      </w:r>
      <w:r w:rsidR="007E7525" w:rsidRPr="001B3E37">
        <w:rPr>
          <w:rFonts w:cs="Calibri"/>
          <w:b/>
          <w:szCs w:val="20"/>
        </w:rPr>
        <w:t xml:space="preserve"> </w:t>
      </w:r>
      <w:r w:rsidR="007971B1" w:rsidRPr="001B3E37">
        <w:rPr>
          <w:rFonts w:cs="Calibri"/>
          <w:b/>
          <w:szCs w:val="20"/>
        </w:rPr>
        <w:t xml:space="preserve"> NO ATENDIDA</w:t>
      </w:r>
    </w:p>
    <w:p w:rsidR="00135CCF" w:rsidRPr="001B3E37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1B3E37" w:rsidRDefault="00B17F46" w:rsidP="00B17F46">
      <w:pPr>
        <w:tabs>
          <w:tab w:val="left" w:pos="426"/>
        </w:tabs>
        <w:jc w:val="both"/>
      </w:pPr>
      <w:r w:rsidRPr="001B3E37">
        <w:t xml:space="preserve">Se recomienda publicar </w:t>
      </w:r>
      <w:r w:rsidR="007D3B7E" w:rsidRPr="001B3E37">
        <w:t>adicionalmente</w:t>
      </w:r>
      <w:r w:rsidRPr="001B3E37">
        <w:t xml:space="preserve"> los </w:t>
      </w:r>
      <w:r w:rsidR="007D3B7E" w:rsidRPr="001B3E37">
        <w:t>siguientes</w:t>
      </w:r>
      <w:r w:rsidRPr="001B3E37">
        <w:t xml:space="preserve"> rubros de </w:t>
      </w:r>
      <w:r w:rsidR="007D3B7E" w:rsidRPr="001B3E37">
        <w:t>información</w:t>
      </w:r>
      <w:r w:rsidR="00D309CA" w:rsidRPr="001B3E37">
        <w:t>:</w:t>
      </w:r>
    </w:p>
    <w:p w:rsidR="00B17F46" w:rsidRPr="001B3E37" w:rsidRDefault="00E93E62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1B3E37">
        <w:t xml:space="preserve">Ciudad </w:t>
      </w:r>
      <w:r w:rsidR="00B17F46" w:rsidRPr="001B3E37">
        <w:t xml:space="preserve">de adscripción, </w:t>
      </w:r>
      <w:r w:rsidR="004268E9" w:rsidRPr="001B3E37">
        <w:rPr>
          <w:b/>
        </w:rPr>
        <w:t>NO ATENDIDA</w:t>
      </w:r>
    </w:p>
    <w:p w:rsidR="00B17F46" w:rsidRPr="001B3E37" w:rsidRDefault="00D309CA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1B3E37">
        <w:t>D</w:t>
      </w:r>
      <w:r w:rsidR="00B17F46" w:rsidRPr="001B3E37">
        <w:t>esglosar  cualquier deducción, percepción, prestación y compensación en dinero o en especie que reciban con respecto al ejercicio de sus funciones.</w:t>
      </w:r>
      <w:r w:rsidR="007E7525" w:rsidRPr="001B3E37">
        <w:rPr>
          <w:rFonts w:cs="Calibri"/>
          <w:b/>
          <w:szCs w:val="20"/>
        </w:rPr>
        <w:t xml:space="preserve"> </w:t>
      </w:r>
      <w:r w:rsidR="004268E9" w:rsidRPr="001B3E37">
        <w:rPr>
          <w:rFonts w:cs="Calibri"/>
          <w:b/>
          <w:szCs w:val="20"/>
        </w:rPr>
        <w:t xml:space="preserve"> NO ATENDIDA</w:t>
      </w:r>
    </w:p>
    <w:p w:rsidR="00C675EA" w:rsidRPr="001B3E37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6D73D4" w:rsidRPr="001B3E37" w:rsidRDefault="00F15373" w:rsidP="006D73D4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VIII.-</w:t>
      </w:r>
      <w:r w:rsidR="006D73D4" w:rsidRPr="001B3E37">
        <w:t xml:space="preserve"> </w:t>
      </w:r>
      <w:r w:rsidR="006D73D4" w:rsidRPr="001B3E37">
        <w:rPr>
          <w:rFonts w:cs="Calibri"/>
          <w:b/>
          <w:szCs w:val="20"/>
        </w:rPr>
        <w:t>Respecto del presupuesto de egresos:</w:t>
      </w:r>
    </w:p>
    <w:p w:rsidR="006D73D4" w:rsidRPr="001B3E37" w:rsidRDefault="006D73D4" w:rsidP="006D73D4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6D73D4" w:rsidRPr="001B3E37" w:rsidRDefault="006D73D4" w:rsidP="006D73D4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 xml:space="preserve"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</w:t>
      </w:r>
      <w:r w:rsidRPr="001B3E37">
        <w:rPr>
          <w:rFonts w:cs="Calibri"/>
          <w:b/>
          <w:szCs w:val="20"/>
        </w:rPr>
        <w:lastRenderedPageBreak/>
        <w:t xml:space="preserve">información contenida deberá ser expuesta de manera sencilla y de fácil comprensión para el ciudadano no familiarizado con términos contables o administrativos </w:t>
      </w:r>
    </w:p>
    <w:p w:rsidR="00F2473B" w:rsidRPr="001B3E37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Se recomienda publicar</w:t>
      </w:r>
      <w:r w:rsidR="00691921" w:rsidRPr="001B3E37">
        <w:rPr>
          <w:rFonts w:cs="Calibri"/>
          <w:szCs w:val="20"/>
        </w:rPr>
        <w:t xml:space="preserve"> información </w:t>
      </w:r>
      <w:r w:rsidRPr="001B3E37">
        <w:rPr>
          <w:rFonts w:cs="Calibri"/>
          <w:szCs w:val="20"/>
        </w:rPr>
        <w:t xml:space="preserve"> referente al</w:t>
      </w:r>
      <w:r w:rsidR="00691921" w:rsidRPr="001B3E37">
        <w:rPr>
          <w:rFonts w:cs="Calibri"/>
          <w:szCs w:val="20"/>
        </w:rPr>
        <w:t xml:space="preserve"> Presupuesto de Egresos </w:t>
      </w:r>
      <w:r w:rsidR="0073521C" w:rsidRPr="001B3E37">
        <w:rPr>
          <w:rFonts w:cs="Calibri"/>
          <w:szCs w:val="20"/>
        </w:rPr>
        <w:t xml:space="preserve">2014 por programas, toda vez que este rubro </w:t>
      </w:r>
      <w:r w:rsidR="00466EF0" w:rsidRPr="001B3E37">
        <w:rPr>
          <w:rFonts w:cs="Calibri"/>
          <w:szCs w:val="20"/>
        </w:rPr>
        <w:t>no se incluye en los documentos.</w:t>
      </w:r>
      <w:r w:rsidR="004268E9" w:rsidRPr="001B3E37">
        <w:rPr>
          <w:rFonts w:cs="Calibri"/>
          <w:b/>
          <w:szCs w:val="20"/>
        </w:rPr>
        <w:t xml:space="preserve"> </w:t>
      </w:r>
      <w:r w:rsidR="001B163E" w:rsidRPr="001B3E37">
        <w:rPr>
          <w:rFonts w:cs="Calibri"/>
          <w:b/>
          <w:szCs w:val="20"/>
        </w:rPr>
        <w:t xml:space="preserve">NO </w:t>
      </w:r>
      <w:r w:rsidR="004268E9" w:rsidRPr="001B3E37">
        <w:rPr>
          <w:rFonts w:cs="Calibri"/>
          <w:b/>
          <w:szCs w:val="20"/>
        </w:rPr>
        <w:t>ATENDIDA</w:t>
      </w:r>
    </w:p>
    <w:p w:rsidR="00DF4A88" w:rsidRPr="001B3E37" w:rsidRDefault="00DF4A88" w:rsidP="00DF4A88">
      <w:pPr>
        <w:pStyle w:val="Prrafodelista"/>
        <w:numPr>
          <w:ilvl w:val="0"/>
          <w:numId w:val="8"/>
        </w:numPr>
        <w:jc w:val="both"/>
      </w:pPr>
      <w:r w:rsidRPr="001B3E37">
        <w:t xml:space="preserve">Se </w:t>
      </w:r>
      <w:r w:rsidR="00FF419E" w:rsidRPr="001B3E37">
        <w:t>recomienda</w:t>
      </w:r>
      <w:r w:rsidRPr="001B3E37">
        <w:t xml:space="preserve"> publicar el informe de avance de gestión financiera completo toda vez que se detecto la omisión de publicar adicionalmente los siguientes documentos: INFORMACION CONTABLE: </w:t>
      </w:r>
      <w:r w:rsidR="00075D2A" w:rsidRPr="001B3E37">
        <w:t>L</w:t>
      </w:r>
      <w:r w:rsidRPr="001B3E37">
        <w:t>os informes sobre pasivos contingentes; INFORMACION PROGRAMATICA: Gasto por categoría programática</w:t>
      </w:r>
      <w:r w:rsidR="00075D2A" w:rsidRPr="001B3E37">
        <w:t>; Programas y proyectos de inversión; e Indicadores de resultado</w:t>
      </w:r>
      <w:r w:rsidRPr="001B3E37">
        <w:t>.</w:t>
      </w:r>
      <w:r w:rsidR="004268E9" w:rsidRPr="001B3E37">
        <w:t xml:space="preserve"> </w:t>
      </w:r>
      <w:r w:rsidR="004268E9" w:rsidRPr="001B3E37">
        <w:rPr>
          <w:b/>
        </w:rPr>
        <w:t>NO ATENDIDA</w:t>
      </w:r>
    </w:p>
    <w:p w:rsidR="00DF4A88" w:rsidRPr="001B3E37" w:rsidRDefault="00DF4A88" w:rsidP="00DF4A88">
      <w:pPr>
        <w:pStyle w:val="Prrafodelista"/>
        <w:numPr>
          <w:ilvl w:val="0"/>
          <w:numId w:val="8"/>
        </w:numPr>
        <w:jc w:val="both"/>
      </w:pPr>
      <w:r w:rsidRPr="001B3E37">
        <w:t xml:space="preserve">Se </w:t>
      </w:r>
      <w:r w:rsidR="00FF419E" w:rsidRPr="001B3E37">
        <w:t>recomienda</w:t>
      </w:r>
      <w:r w:rsidRPr="001B3E37">
        <w:t xml:space="preserve"> actualizar la fracción al texto vigente de la Ley.</w:t>
      </w:r>
      <w:r w:rsidR="004268E9" w:rsidRPr="001B3E37">
        <w:t xml:space="preserve">  </w:t>
      </w:r>
      <w:r w:rsidR="004268E9" w:rsidRPr="001B3E37">
        <w:rPr>
          <w:b/>
        </w:rPr>
        <w:t>ATENDIDA</w:t>
      </w:r>
    </w:p>
    <w:p w:rsidR="00C675EA" w:rsidRPr="001B3E37" w:rsidRDefault="00C675EA" w:rsidP="00A3751E">
      <w:pPr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D77F84" w:rsidRPr="001B3E37" w:rsidRDefault="004406ED" w:rsidP="006A48D6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</w:t>
      </w:r>
    </w:p>
    <w:p w:rsidR="00C675EA" w:rsidRPr="001B3E37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2B6F9D" w:rsidRPr="001B3E37" w:rsidRDefault="002B6F9D" w:rsidP="002B6F9D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</w:t>
      </w:r>
    </w:p>
    <w:p w:rsidR="00C675EA" w:rsidRPr="001B3E37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XI.- Los convenios celebrados con instituciones públicas o privadas;</w:t>
      </w:r>
    </w:p>
    <w:p w:rsidR="00033957" w:rsidRPr="001B3E37" w:rsidRDefault="00033957" w:rsidP="00033957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</w:t>
      </w:r>
    </w:p>
    <w:p w:rsidR="00701E24" w:rsidRPr="001B3E37" w:rsidRDefault="00701E24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XII.- El padrón de proveedores;</w:t>
      </w:r>
    </w:p>
    <w:p w:rsidR="00F15373" w:rsidRPr="001B3E37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 xml:space="preserve">Se recomienda incorporar al padrón </w:t>
      </w:r>
      <w:r w:rsidR="00782F9F" w:rsidRPr="001B3E37">
        <w:rPr>
          <w:rFonts w:cs="Calibri"/>
          <w:szCs w:val="20"/>
        </w:rPr>
        <w:t>publicado</w:t>
      </w:r>
      <w:r w:rsidRPr="001B3E37">
        <w:rPr>
          <w:rFonts w:cs="Calibri"/>
          <w:szCs w:val="20"/>
        </w:rPr>
        <w:t xml:space="preserve"> el giro comercial o actividad empresarial de los proveedores.</w:t>
      </w:r>
      <w:r w:rsidR="00F35F03" w:rsidRPr="001B3E37">
        <w:rPr>
          <w:rFonts w:cs="Calibri"/>
          <w:b/>
          <w:szCs w:val="20"/>
        </w:rPr>
        <w:t xml:space="preserve"> </w:t>
      </w:r>
      <w:r w:rsidR="0051234D" w:rsidRPr="001B3E37">
        <w:rPr>
          <w:rFonts w:cs="Calibri"/>
          <w:b/>
          <w:szCs w:val="20"/>
        </w:rPr>
        <w:t>NO ATENDIDA</w:t>
      </w:r>
    </w:p>
    <w:p w:rsidR="00C675EA" w:rsidRPr="001B3E37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XIII.- El padrón inmobiliario y el vehicular;</w:t>
      </w:r>
    </w:p>
    <w:p w:rsidR="00E1690D" w:rsidRPr="001B3E37" w:rsidRDefault="00E1690D" w:rsidP="00E1690D">
      <w:pPr>
        <w:jc w:val="both"/>
      </w:pPr>
      <w:r w:rsidRPr="001B3E37">
        <w:t xml:space="preserve">Con respecto al padrón Inmobiliario se recomienda </w:t>
      </w:r>
      <w:r w:rsidR="003C400B" w:rsidRPr="001B3E37">
        <w:t>publicar adicionalmente la siguiente información:</w:t>
      </w:r>
    </w:p>
    <w:p w:rsidR="00E1690D" w:rsidRPr="001B3E37" w:rsidRDefault="00E93E62" w:rsidP="00E1690D">
      <w:pPr>
        <w:pStyle w:val="Prrafodelista"/>
        <w:numPr>
          <w:ilvl w:val="0"/>
          <w:numId w:val="20"/>
        </w:numPr>
        <w:jc w:val="both"/>
      </w:pPr>
      <w:r w:rsidRPr="001B3E37">
        <w:lastRenderedPageBreak/>
        <w:t>C</w:t>
      </w:r>
      <w:r w:rsidR="00E1690D" w:rsidRPr="001B3E37">
        <w:t xml:space="preserve">ódigo postal, </w:t>
      </w:r>
      <w:r w:rsidR="00980A32" w:rsidRPr="001B3E37">
        <w:t xml:space="preserve"> </w:t>
      </w:r>
      <w:r w:rsidR="00980A32" w:rsidRPr="001B3E37">
        <w:rPr>
          <w:b/>
        </w:rPr>
        <w:t>NO ATENDIDA</w:t>
      </w:r>
    </w:p>
    <w:p w:rsidR="00E1690D" w:rsidRPr="001B3E37" w:rsidRDefault="00E1690D" w:rsidP="00E1690D">
      <w:pPr>
        <w:pStyle w:val="Prrafodelista"/>
        <w:numPr>
          <w:ilvl w:val="0"/>
          <w:numId w:val="20"/>
        </w:numPr>
        <w:jc w:val="both"/>
      </w:pPr>
      <w:r w:rsidRPr="001B3E37">
        <w:t>Valor catastral del inmueble</w:t>
      </w:r>
      <w:r w:rsidR="00F76FB8" w:rsidRPr="001B3E37">
        <w:t>.</w:t>
      </w:r>
      <w:r w:rsidR="00980A32" w:rsidRPr="001B3E37">
        <w:t xml:space="preserve">  </w:t>
      </w:r>
      <w:r w:rsidR="00980A32" w:rsidRPr="001B3E37">
        <w:rPr>
          <w:b/>
        </w:rPr>
        <w:t>NO ATENDIDA</w:t>
      </w:r>
    </w:p>
    <w:p w:rsidR="00E84499" w:rsidRPr="001B3E37" w:rsidRDefault="00E84499" w:rsidP="00E84499">
      <w:pPr>
        <w:jc w:val="both"/>
      </w:pPr>
    </w:p>
    <w:p w:rsidR="00F15373" w:rsidRPr="001B3E37" w:rsidRDefault="00F15373" w:rsidP="0071338E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93E62" w:rsidRPr="001B3E37" w:rsidRDefault="00E93E62" w:rsidP="00E93E62">
      <w:pPr>
        <w:pStyle w:val="Sinespaciado"/>
      </w:pPr>
      <w:r w:rsidRPr="001B3E37">
        <w:t>No se emiten recomendaciones respecto a esta fracción</w:t>
      </w:r>
    </w:p>
    <w:p w:rsidR="00E93E62" w:rsidRPr="001B3E37" w:rsidRDefault="00E93E62" w:rsidP="0071338E">
      <w:pPr>
        <w:jc w:val="both"/>
        <w:rPr>
          <w:rFonts w:cs="Calibri"/>
          <w:b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XV.- Los montos asignados y criterios de acceso a los programas sociales;</w:t>
      </w:r>
    </w:p>
    <w:p w:rsidR="0009337F" w:rsidRPr="001B3E37" w:rsidRDefault="0009337F" w:rsidP="0009337F">
      <w:pPr>
        <w:jc w:val="both"/>
      </w:pPr>
      <w:r w:rsidRPr="001B3E37">
        <w:t xml:space="preserve">Se recomienda publicar </w:t>
      </w:r>
      <w:r w:rsidR="008E25C8" w:rsidRPr="001B3E37">
        <w:t xml:space="preserve">en </w:t>
      </w:r>
      <w:r w:rsidRPr="001B3E37">
        <w:t xml:space="preserve">el listado de los programas sociales la siguiente información:                                                 </w:t>
      </w:r>
    </w:p>
    <w:p w:rsidR="0009337F" w:rsidRPr="001B3E37" w:rsidRDefault="0009337F" w:rsidP="00BF66B2">
      <w:pPr>
        <w:pStyle w:val="Prrafodelista"/>
        <w:numPr>
          <w:ilvl w:val="0"/>
          <w:numId w:val="32"/>
        </w:numPr>
        <w:ind w:left="851"/>
      </w:pPr>
      <w:r w:rsidRPr="001B3E37">
        <w:t xml:space="preserve">Formatos que deberá llenar, </w:t>
      </w:r>
      <w:r w:rsidR="00980A32" w:rsidRPr="001B3E37">
        <w:t xml:space="preserve"> </w:t>
      </w:r>
      <w:r w:rsidR="00980A32" w:rsidRPr="001B3E37">
        <w:rPr>
          <w:b/>
        </w:rPr>
        <w:t>NO ATENDIDA</w:t>
      </w:r>
      <w:r w:rsidR="003527D2" w:rsidRPr="001B3E37">
        <w:t xml:space="preserve"> </w:t>
      </w:r>
      <w:r w:rsidRPr="001B3E37">
        <w:t xml:space="preserve"> </w:t>
      </w:r>
    </w:p>
    <w:p w:rsidR="00C675EA" w:rsidRPr="001B3E37" w:rsidRDefault="00C675EA" w:rsidP="00C675EA">
      <w:pPr>
        <w:pStyle w:val="Prrafodelista"/>
        <w:ind w:left="1068"/>
        <w:jc w:val="both"/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8E25C8" w:rsidRPr="001B3E37" w:rsidRDefault="008E25C8" w:rsidP="008E25C8">
      <w:pPr>
        <w:pStyle w:val="Sinespaciado"/>
      </w:pPr>
      <w:r w:rsidRPr="001B3E37">
        <w:t>No se emiten recomendaciones respecto a esta fracción</w:t>
      </w:r>
    </w:p>
    <w:p w:rsidR="00701E24" w:rsidRPr="001B3E37" w:rsidRDefault="00701E24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a).- La justificación técnica y financiera;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B3E37" w:rsidRDefault="00F15373" w:rsidP="009E4C7A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c).- En su caso, las modificaciones a las condiciones originales del contrato.</w:t>
      </w:r>
    </w:p>
    <w:p w:rsidR="008E25C8" w:rsidRPr="001B3E37" w:rsidRDefault="008E25C8" w:rsidP="005A3622">
      <w:pPr>
        <w:pStyle w:val="Prrafodelista"/>
        <w:numPr>
          <w:ilvl w:val="0"/>
          <w:numId w:val="38"/>
        </w:num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Se omite publicar las convocatorias a concurso en término de lo señalado en el artículo 26 de la Ley de adquisiciones, Arrendamientos y servicios para el Estado de Baja California.</w:t>
      </w:r>
      <w:r w:rsidR="00FA019D" w:rsidRPr="001B3E37">
        <w:rPr>
          <w:rFonts w:cs="Calibri"/>
          <w:szCs w:val="20"/>
        </w:rPr>
        <w:t xml:space="preserve">               </w:t>
      </w:r>
      <w:r w:rsidR="00FA019D" w:rsidRPr="001B3E37">
        <w:rPr>
          <w:rFonts w:cs="Calibri"/>
          <w:b/>
          <w:szCs w:val="20"/>
        </w:rPr>
        <w:t>NO ATENDIDA</w:t>
      </w:r>
    </w:p>
    <w:p w:rsidR="001F2DD8" w:rsidRPr="001B3E37" w:rsidRDefault="001F2DD8" w:rsidP="001F2DD8">
      <w:pPr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XVIII.- Las adjudicaciones directas, señalando los motivos y fundamentos legales aplicados;</w:t>
      </w:r>
    </w:p>
    <w:p w:rsidR="003439CF" w:rsidRPr="001B3E37" w:rsidRDefault="003439CF" w:rsidP="003439CF">
      <w:pPr>
        <w:pStyle w:val="Sinespaciado"/>
      </w:pPr>
      <w:r w:rsidRPr="001B3E37">
        <w:t>No se emiten recomendaciones respecto a esta fracción</w:t>
      </w:r>
      <w:r w:rsidR="00F76FB8" w:rsidRPr="001B3E37">
        <w:t>.</w:t>
      </w: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77F84" w:rsidRPr="001B3E37" w:rsidRDefault="004C67CA" w:rsidP="004C67CA">
      <w:pPr>
        <w:pStyle w:val="Sinespaciado"/>
      </w:pPr>
      <w:r w:rsidRPr="001B3E37">
        <w:t>No se emiten recomendaciones respecto a esta fracción</w:t>
      </w:r>
    </w:p>
    <w:p w:rsidR="00B22333" w:rsidRPr="001B3E37" w:rsidRDefault="00B22333" w:rsidP="00B22333">
      <w:pPr>
        <w:pStyle w:val="Prrafodelista"/>
        <w:ind w:left="1647"/>
        <w:jc w:val="both"/>
      </w:pPr>
    </w:p>
    <w:p w:rsidR="00F15373" w:rsidRPr="001B3E37" w:rsidRDefault="00F15373" w:rsidP="00B2233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439CF" w:rsidRPr="001B3E37" w:rsidRDefault="003439CF" w:rsidP="003439CF">
      <w:pPr>
        <w:pStyle w:val="Sinespaciado"/>
      </w:pPr>
      <w:r w:rsidRPr="001B3E37">
        <w:t>No se emiten recomendaciones respecto a esta fracción</w:t>
      </w:r>
    </w:p>
    <w:p w:rsidR="00C675EA" w:rsidRPr="001B3E37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1B3E37" w:rsidRDefault="00413AE4" w:rsidP="000B45A9">
      <w:pPr>
        <w:pStyle w:val="Sinespaciado"/>
      </w:pPr>
      <w:r w:rsidRPr="001B3E37">
        <w:t>No se emiten recomendaciones respecto a esta fracción.</w:t>
      </w:r>
    </w:p>
    <w:p w:rsidR="00C675EA" w:rsidRPr="001B3E37" w:rsidRDefault="00C675EA" w:rsidP="00C675EA">
      <w:pPr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7D4D94" w:rsidRPr="001B3E37" w:rsidRDefault="007D4D94" w:rsidP="000B45A9">
      <w:pPr>
        <w:pStyle w:val="Sinespaciado"/>
      </w:pPr>
      <w:r w:rsidRPr="001B3E37">
        <w:t>No se emiten recomendaciones respecto a esta fracción.</w:t>
      </w:r>
    </w:p>
    <w:p w:rsidR="00C604DF" w:rsidRPr="001B3E37" w:rsidRDefault="00C604DF" w:rsidP="007D4D94">
      <w:pPr>
        <w:ind w:left="786"/>
        <w:jc w:val="both"/>
        <w:rPr>
          <w:rFonts w:cs="Calibri"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1B3E37" w:rsidRDefault="00C604DF" w:rsidP="00F15373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Se recomienda publicar el enlace directo al informe de resultados de la cuenta pública 201</w:t>
      </w:r>
      <w:r w:rsidR="005D4FBF" w:rsidRPr="001B3E37">
        <w:rPr>
          <w:rFonts w:cs="Calibri"/>
          <w:szCs w:val="20"/>
        </w:rPr>
        <w:t>2</w:t>
      </w:r>
      <w:r w:rsidRPr="001B3E37">
        <w:rPr>
          <w:rFonts w:cs="Calibri"/>
          <w:szCs w:val="20"/>
        </w:rPr>
        <w:t xml:space="preserve"> del Sujeto Obligado,</w:t>
      </w:r>
      <w:r w:rsidR="004C67CA" w:rsidRPr="001B3E37">
        <w:rPr>
          <w:rFonts w:cs="Calibri"/>
          <w:szCs w:val="20"/>
        </w:rPr>
        <w:t xml:space="preserve"> disponible en el portal de internet del </w:t>
      </w:r>
      <w:r w:rsidR="001E2BD8" w:rsidRPr="001B3E37">
        <w:rPr>
          <w:rFonts w:cs="Calibri"/>
          <w:szCs w:val="20"/>
        </w:rPr>
        <w:t>Órgano</w:t>
      </w:r>
      <w:r w:rsidR="004C67CA" w:rsidRPr="001B3E37">
        <w:rPr>
          <w:rFonts w:cs="Calibri"/>
          <w:szCs w:val="20"/>
        </w:rPr>
        <w:t xml:space="preserve"> de </w:t>
      </w:r>
      <w:r w:rsidR="001E2BD8" w:rsidRPr="001B3E37">
        <w:rPr>
          <w:rFonts w:cs="Calibri"/>
          <w:szCs w:val="20"/>
        </w:rPr>
        <w:t xml:space="preserve">Fiscalización </w:t>
      </w:r>
      <w:r w:rsidR="004C67CA" w:rsidRPr="001B3E37">
        <w:rPr>
          <w:rFonts w:cs="Calibri"/>
          <w:szCs w:val="20"/>
        </w:rPr>
        <w:t xml:space="preserve">Superior del Estado de </w:t>
      </w:r>
      <w:r w:rsidR="001E2BD8" w:rsidRPr="001B3E37">
        <w:rPr>
          <w:rFonts w:cs="Calibri"/>
          <w:szCs w:val="20"/>
        </w:rPr>
        <w:t>Baja</w:t>
      </w:r>
      <w:r w:rsidR="004C67CA" w:rsidRPr="001B3E37">
        <w:rPr>
          <w:rFonts w:cs="Calibri"/>
          <w:szCs w:val="20"/>
        </w:rPr>
        <w:t xml:space="preserve"> California</w:t>
      </w:r>
      <w:r w:rsidR="005D4FBF" w:rsidRPr="001B3E37">
        <w:rPr>
          <w:rFonts w:cs="Calibri"/>
          <w:szCs w:val="20"/>
        </w:rPr>
        <w:t xml:space="preserve"> (</w:t>
      </w:r>
      <w:hyperlink r:id="rId7" w:history="1">
        <w:r w:rsidR="005D4FBF" w:rsidRPr="001B3E37">
          <w:rPr>
            <w:rStyle w:val="Hipervnculo"/>
            <w:rFonts w:cs="Calibri"/>
            <w:color w:val="auto"/>
            <w:szCs w:val="20"/>
          </w:rPr>
          <w:t>http://www.ofsbc.gob.mx/ArchivosInternet%5C8782607727-2.%20DIF%20%20ESTATAL-12.pdf</w:t>
        </w:r>
      </w:hyperlink>
      <w:r w:rsidR="005D4FBF" w:rsidRPr="001B3E37">
        <w:rPr>
          <w:rFonts w:cs="Calibri"/>
          <w:szCs w:val="20"/>
        </w:rPr>
        <w:t xml:space="preserve"> )</w:t>
      </w:r>
      <w:r w:rsidR="004C67CA" w:rsidRPr="001B3E37">
        <w:rPr>
          <w:rFonts w:cs="Calibri"/>
          <w:szCs w:val="20"/>
        </w:rPr>
        <w:t xml:space="preserve">, </w:t>
      </w:r>
      <w:r w:rsidRPr="001B3E37">
        <w:rPr>
          <w:rFonts w:cs="Calibri"/>
          <w:szCs w:val="20"/>
        </w:rPr>
        <w:t xml:space="preserve">indicando los siguientes rubros de información: </w:t>
      </w:r>
    </w:p>
    <w:p w:rsidR="00FC0D13" w:rsidRPr="001B3E37" w:rsidRDefault="00FC0D13" w:rsidP="00FC0D13">
      <w:pPr>
        <w:pStyle w:val="Prrafodelista"/>
        <w:numPr>
          <w:ilvl w:val="0"/>
          <w:numId w:val="23"/>
        </w:numPr>
        <w:jc w:val="both"/>
      </w:pPr>
      <w:r w:rsidRPr="001B3E37">
        <w:t xml:space="preserve">Unidad administrativa auditada, </w:t>
      </w:r>
      <w:r w:rsidR="00FA019D" w:rsidRPr="001B3E37">
        <w:rPr>
          <w:b/>
        </w:rPr>
        <w:t>NO ATENDIDA</w:t>
      </w:r>
      <w:r w:rsidR="00FA019D" w:rsidRPr="001B3E37">
        <w:t xml:space="preserve"> </w:t>
      </w:r>
    </w:p>
    <w:p w:rsidR="00FC0D13" w:rsidRPr="001B3E37" w:rsidRDefault="00FC0D13" w:rsidP="00FC0D13">
      <w:pPr>
        <w:pStyle w:val="Prrafodelista"/>
        <w:numPr>
          <w:ilvl w:val="0"/>
          <w:numId w:val="23"/>
        </w:numPr>
        <w:jc w:val="both"/>
      </w:pPr>
      <w:r w:rsidRPr="001B3E37">
        <w:t xml:space="preserve">Número y tipo de observaciones, </w:t>
      </w:r>
      <w:r w:rsidR="00FA019D" w:rsidRPr="001B3E37">
        <w:t xml:space="preserve"> </w:t>
      </w:r>
      <w:r w:rsidR="00FA019D" w:rsidRPr="001B3E37">
        <w:rPr>
          <w:b/>
        </w:rPr>
        <w:t>NO ATENDIDA</w:t>
      </w:r>
    </w:p>
    <w:p w:rsidR="00FC0D13" w:rsidRPr="001B3E37" w:rsidRDefault="00FC0D13" w:rsidP="00FC0D13">
      <w:pPr>
        <w:pStyle w:val="Prrafodelista"/>
        <w:numPr>
          <w:ilvl w:val="0"/>
          <w:numId w:val="23"/>
        </w:numPr>
        <w:jc w:val="both"/>
      </w:pPr>
      <w:r w:rsidRPr="001B3E37">
        <w:t xml:space="preserve">Observaciones solventadas, y </w:t>
      </w:r>
      <w:r w:rsidR="00FA019D" w:rsidRPr="001B3E37">
        <w:t xml:space="preserve"> </w:t>
      </w:r>
      <w:r w:rsidR="00FA019D" w:rsidRPr="001B3E37">
        <w:rPr>
          <w:b/>
        </w:rPr>
        <w:t>NO ATENDIDA</w:t>
      </w:r>
    </w:p>
    <w:p w:rsidR="00F76FB8" w:rsidRPr="001B3E37" w:rsidRDefault="00FC0D13" w:rsidP="00F15373">
      <w:pPr>
        <w:pStyle w:val="Prrafodelista"/>
        <w:numPr>
          <w:ilvl w:val="0"/>
          <w:numId w:val="23"/>
        </w:numPr>
        <w:jc w:val="both"/>
        <w:rPr>
          <w:rFonts w:cs="Calibri"/>
          <w:b/>
          <w:szCs w:val="20"/>
        </w:rPr>
      </w:pPr>
      <w:r w:rsidRPr="001B3E37">
        <w:t>vínculo a copia íntegra del informe de auditoría o dictamen.</w:t>
      </w:r>
      <w:r w:rsidR="002118DB" w:rsidRPr="001B3E37">
        <w:rPr>
          <w:rFonts w:cs="Calibri"/>
          <w:b/>
          <w:szCs w:val="20"/>
        </w:rPr>
        <w:t xml:space="preserve"> </w:t>
      </w:r>
      <w:r w:rsidR="00FA019D" w:rsidRPr="001B3E37">
        <w:rPr>
          <w:rFonts w:cs="Calibri"/>
          <w:b/>
          <w:szCs w:val="20"/>
        </w:rPr>
        <w:t xml:space="preserve"> NO ATENDIDA</w:t>
      </w:r>
    </w:p>
    <w:p w:rsidR="00F76FB8" w:rsidRPr="001B3E37" w:rsidRDefault="00F76FB8" w:rsidP="00F15373">
      <w:pPr>
        <w:jc w:val="both"/>
        <w:rPr>
          <w:rFonts w:cs="Calibri"/>
          <w:b/>
          <w:szCs w:val="20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t>XXIV.-Los informes que por disposición legal generen los sujetos obligados; y</w:t>
      </w:r>
    </w:p>
    <w:p w:rsidR="00F71DE7" w:rsidRPr="001B3E37" w:rsidRDefault="00F71DE7" w:rsidP="00F71DE7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fracción.</w:t>
      </w:r>
    </w:p>
    <w:p w:rsidR="00701E24" w:rsidRPr="001B3E37" w:rsidRDefault="00701E24" w:rsidP="00701E24">
      <w:pPr>
        <w:jc w:val="both"/>
        <w:rPr>
          <w:sz w:val="23"/>
          <w:szCs w:val="23"/>
        </w:rPr>
      </w:pPr>
    </w:p>
    <w:p w:rsidR="00F15373" w:rsidRPr="001B3E37" w:rsidRDefault="00F15373" w:rsidP="00F15373">
      <w:pPr>
        <w:jc w:val="both"/>
        <w:rPr>
          <w:rFonts w:cs="Calibri"/>
          <w:b/>
          <w:szCs w:val="20"/>
        </w:rPr>
      </w:pPr>
      <w:r w:rsidRPr="001B3E37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B3E37" w:rsidRDefault="00CA3303" w:rsidP="00701E24">
      <w:pPr>
        <w:jc w:val="both"/>
        <w:rPr>
          <w:rFonts w:cs="Calibri"/>
          <w:szCs w:val="20"/>
        </w:rPr>
      </w:pPr>
      <w:r w:rsidRPr="001B3E37">
        <w:rPr>
          <w:rFonts w:cs="Calibri"/>
          <w:szCs w:val="20"/>
        </w:rPr>
        <w:t>No se emiten recomendaciones respecto a esta fracción.</w:t>
      </w:r>
    </w:p>
    <w:p w:rsidR="00426277" w:rsidRPr="001B3E37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1B3E37" w:rsidRDefault="001B3E3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1B3E37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1B3E37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B3E37">
        <w:rPr>
          <w:b/>
          <w:bCs/>
          <w:sz w:val="23"/>
          <w:szCs w:val="23"/>
        </w:rPr>
        <w:t xml:space="preserve">I.- </w:t>
      </w:r>
      <w:r w:rsidRPr="001B3E37">
        <w:rPr>
          <w:b/>
          <w:sz w:val="23"/>
          <w:szCs w:val="23"/>
        </w:rPr>
        <w:t>El Plan Estatal de Desarrollo;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701E24" w:rsidRPr="001B3E37" w:rsidRDefault="00F71DE7" w:rsidP="00701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B3E37">
        <w:rPr>
          <w:rFonts w:asciiTheme="minorHAnsi" w:hAnsiTheme="minorHAnsi" w:cstheme="minorHAnsi"/>
          <w:szCs w:val="20"/>
        </w:rPr>
        <w:t>No se emiten recomendaciones respecto a esta fracción</w:t>
      </w:r>
    </w:p>
    <w:p w:rsidR="000F2382" w:rsidRPr="001B3E37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B3E3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1B3E37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1B3E3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B3E3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B3E37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1B3E3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B3E37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B3E3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B3E37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B3E37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B3E3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701E24" w:rsidRPr="001B3E37" w:rsidRDefault="00701E24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B3E3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1234D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1234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1234D">
        <w:rPr>
          <w:rFonts w:asciiTheme="minorHAnsi" w:hAnsiTheme="minorHAnsi" w:cstheme="minorHAnsi"/>
          <w:szCs w:val="20"/>
        </w:rPr>
        <w:t>.</w:t>
      </w:r>
    </w:p>
    <w:p w:rsidR="00C675EA" w:rsidRPr="0051234D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bookmarkStart w:id="0" w:name="_GoBack"/>
      <w:bookmarkEnd w:id="0"/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1234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1234D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51234D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51234D">
        <w:rPr>
          <w:rFonts w:asciiTheme="minorHAnsi" w:hAnsiTheme="minorHAnsi"/>
          <w:lang w:eastAsia="es-MX"/>
        </w:rPr>
        <w:t>.</w:t>
      </w: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1234D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008"/>
      </w:tblGrid>
      <w:tr w:rsidR="00CE716B" w:rsidTr="00C3394F">
        <w:trPr>
          <w:cnfStyle w:val="1000000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E716B" w:rsidRPr="00C3394F" w:rsidRDefault="00CE716B" w:rsidP="00C3394F">
            <w:pPr>
              <w:jc w:val="center"/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sz w:val="24"/>
              </w:rPr>
              <w:lastRenderedPageBreak/>
              <w:t>TOTAL DE RECOMENDACIONES EMITIDAS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E716B" w:rsidRPr="00C3394F" w:rsidRDefault="00B37240" w:rsidP="00B37240">
            <w:pPr>
              <w:jc w:val="center"/>
              <w:cnfStyle w:val="100000000000"/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sz w:val="24"/>
              </w:rPr>
              <w:t>16</w:t>
            </w:r>
          </w:p>
        </w:tc>
      </w:tr>
      <w:tr w:rsidR="00CE716B" w:rsidTr="00C3394F">
        <w:trPr>
          <w:cnfStyle w:val="0000001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B" w:rsidRPr="00C3394F" w:rsidRDefault="00CE716B" w:rsidP="00235D89">
            <w:pPr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sz w:val="24"/>
              </w:rPr>
              <w:t>TOTAL DE RECOMENDACIONES ATENDIDAS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B" w:rsidRPr="00C3394F" w:rsidRDefault="001B163E" w:rsidP="000C2259">
            <w:pPr>
              <w:jc w:val="center"/>
              <w:cnfStyle w:val="000000100000"/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</w:tr>
      <w:tr w:rsidR="00CE716B" w:rsidTr="00C3394F">
        <w:trPr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B" w:rsidRPr="00C3394F" w:rsidRDefault="00CE716B" w:rsidP="00235D89">
            <w:pPr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sz w:val="24"/>
              </w:rPr>
              <w:t>TOTAL DE RECOMENDACIONES NO ATENDIDAS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B" w:rsidRPr="00C3394F" w:rsidRDefault="00B37240" w:rsidP="00E17255">
            <w:pPr>
              <w:jc w:val="center"/>
              <w:cnfStyle w:val="000000000000"/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E17255" w:rsidRPr="00C3394F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</w:tr>
      <w:tr w:rsidR="00CE716B" w:rsidTr="00C3394F">
        <w:trPr>
          <w:cnfStyle w:val="0000001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B" w:rsidRPr="00C3394F" w:rsidRDefault="00CE716B" w:rsidP="00235D89">
            <w:pPr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sz w:val="24"/>
              </w:rPr>
              <w:t>PORCENTAJE DE ATENCIÓN A RECOMENDACIONES EMITIDAS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Pr="00C3394F" w:rsidRDefault="001B163E" w:rsidP="00C3394F">
            <w:pPr>
              <w:jc w:val="center"/>
              <w:cnfStyle w:val="000000100000"/>
              <w:rPr>
                <w:sz w:val="24"/>
              </w:rPr>
            </w:pPr>
            <w:r w:rsidRPr="00C3394F">
              <w:rPr>
                <w:rFonts w:asciiTheme="minorHAnsi" w:hAnsiTheme="minorHAnsi" w:cstheme="minorHAnsi"/>
                <w:b/>
                <w:color w:val="auto"/>
                <w:sz w:val="24"/>
              </w:rPr>
              <w:t>6</w:t>
            </w:r>
            <w:r w:rsidR="00DA0960" w:rsidRPr="00C3394F">
              <w:rPr>
                <w:rFonts w:asciiTheme="minorHAnsi" w:hAnsiTheme="minorHAnsi" w:cstheme="minorHAnsi"/>
                <w:b/>
                <w:color w:val="auto"/>
                <w:sz w:val="24"/>
              </w:rPr>
              <w:t>.25</w:t>
            </w:r>
            <w:r w:rsidR="00CE716B" w:rsidRPr="00C3394F">
              <w:rPr>
                <w:rFonts w:asciiTheme="minorHAnsi" w:hAnsiTheme="minorHAnsi" w:cstheme="minorHAnsi"/>
                <w:b/>
                <w:color w:val="auto"/>
                <w:sz w:val="24"/>
              </w:rPr>
              <w:t>%</w:t>
            </w:r>
          </w:p>
        </w:tc>
      </w:tr>
    </w:tbl>
    <w:p w:rsidR="00CE716B" w:rsidRPr="00F76FB8" w:rsidRDefault="00CE716B" w:rsidP="00B37240">
      <w:pPr>
        <w:jc w:val="center"/>
        <w:rPr>
          <w:rFonts w:asciiTheme="minorHAnsi" w:hAnsiTheme="minorHAnsi"/>
          <w:b/>
          <w:lang w:eastAsia="es-MX"/>
        </w:rPr>
      </w:pPr>
    </w:p>
    <w:sectPr w:rsidR="00CE716B" w:rsidRPr="00F76FB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73" w:rsidRDefault="00410973" w:rsidP="000F1546">
      <w:pPr>
        <w:spacing w:after="0" w:line="240" w:lineRule="auto"/>
      </w:pPr>
      <w:r>
        <w:separator/>
      </w:r>
    </w:p>
  </w:endnote>
  <w:endnote w:type="continuationSeparator" w:id="0">
    <w:p w:rsidR="00410973" w:rsidRDefault="0041097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6587D">
            <w:rPr>
              <w:rFonts w:ascii="Cambria" w:hAnsi="Cambria"/>
              <w:sz w:val="16"/>
            </w:rPr>
            <w:t>6</w:t>
          </w:r>
          <w:r w:rsidR="004268E9">
            <w:rPr>
              <w:rFonts w:ascii="Cambria" w:hAnsi="Cambria"/>
              <w:sz w:val="16"/>
            </w:rPr>
            <w:t xml:space="preserve"> y 8 </w:t>
          </w:r>
          <w:r w:rsidR="00BD4B42">
            <w:rPr>
              <w:rFonts w:ascii="Cambria" w:hAnsi="Cambria"/>
              <w:sz w:val="16"/>
            </w:rPr>
            <w:t xml:space="preserve"> de </w:t>
          </w:r>
          <w:r w:rsidR="00F6587D">
            <w:rPr>
              <w:rFonts w:ascii="Cambria" w:hAnsi="Cambria"/>
              <w:sz w:val="16"/>
            </w:rPr>
            <w:t>Febrero</w:t>
          </w:r>
          <w:r w:rsidR="00C170A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6587D">
            <w:rPr>
              <w:rFonts w:ascii="Cambria" w:hAnsi="Cambria"/>
              <w:sz w:val="16"/>
            </w:rPr>
            <w:t>5</w:t>
          </w:r>
        </w:p>
        <w:p w:rsidR="002B6E0A" w:rsidRPr="001859E8" w:rsidRDefault="00C3394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3394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1F23C3" w:rsidP="00354B6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C3394F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76FB8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C3394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73" w:rsidRDefault="00410973" w:rsidP="000F1546">
      <w:pPr>
        <w:spacing w:after="0" w:line="240" w:lineRule="auto"/>
      </w:pPr>
      <w:r>
        <w:separator/>
      </w:r>
    </w:p>
  </w:footnote>
  <w:footnote w:type="continuationSeparator" w:id="0">
    <w:p w:rsidR="00410973" w:rsidRDefault="0041097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5B"/>
    <w:multiLevelType w:val="hybridMultilevel"/>
    <w:tmpl w:val="D1542F60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B87C56"/>
    <w:multiLevelType w:val="hybridMultilevel"/>
    <w:tmpl w:val="99945E52"/>
    <w:lvl w:ilvl="0" w:tplc="C390DE6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A63711"/>
    <w:multiLevelType w:val="hybridMultilevel"/>
    <w:tmpl w:val="FB50ED40"/>
    <w:lvl w:ilvl="0" w:tplc="5B4CC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252C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>
    <w:nsid w:val="161259CF"/>
    <w:multiLevelType w:val="hybridMultilevel"/>
    <w:tmpl w:val="0C1847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D4ABF"/>
    <w:multiLevelType w:val="hybridMultilevel"/>
    <w:tmpl w:val="C22C932E"/>
    <w:lvl w:ilvl="0" w:tplc="3868683A">
      <w:start w:val="1"/>
      <w:numFmt w:val="decimal"/>
      <w:lvlText w:val="%1)"/>
      <w:lvlJc w:val="left"/>
      <w:pPr>
        <w:ind w:left="-1338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618" w:hanging="360"/>
      </w:pPr>
    </w:lvl>
    <w:lvl w:ilvl="2" w:tplc="080A001B" w:tentative="1">
      <w:start w:val="1"/>
      <w:numFmt w:val="lowerRoman"/>
      <w:lvlText w:val="%3."/>
      <w:lvlJc w:val="right"/>
      <w:pPr>
        <w:ind w:left="102" w:hanging="180"/>
      </w:pPr>
    </w:lvl>
    <w:lvl w:ilvl="3" w:tplc="080A000F" w:tentative="1">
      <w:start w:val="1"/>
      <w:numFmt w:val="decimal"/>
      <w:lvlText w:val="%4."/>
      <w:lvlJc w:val="left"/>
      <w:pPr>
        <w:ind w:left="822" w:hanging="360"/>
      </w:pPr>
    </w:lvl>
    <w:lvl w:ilvl="4" w:tplc="080A0019" w:tentative="1">
      <w:start w:val="1"/>
      <w:numFmt w:val="lowerLetter"/>
      <w:lvlText w:val="%5."/>
      <w:lvlJc w:val="left"/>
      <w:pPr>
        <w:ind w:left="1542" w:hanging="360"/>
      </w:pPr>
    </w:lvl>
    <w:lvl w:ilvl="5" w:tplc="080A001B" w:tentative="1">
      <w:start w:val="1"/>
      <w:numFmt w:val="lowerRoman"/>
      <w:lvlText w:val="%6."/>
      <w:lvlJc w:val="right"/>
      <w:pPr>
        <w:ind w:left="2262" w:hanging="180"/>
      </w:pPr>
    </w:lvl>
    <w:lvl w:ilvl="6" w:tplc="080A000F" w:tentative="1">
      <w:start w:val="1"/>
      <w:numFmt w:val="decimal"/>
      <w:lvlText w:val="%7."/>
      <w:lvlJc w:val="left"/>
      <w:pPr>
        <w:ind w:left="2982" w:hanging="360"/>
      </w:pPr>
    </w:lvl>
    <w:lvl w:ilvl="7" w:tplc="080A0019" w:tentative="1">
      <w:start w:val="1"/>
      <w:numFmt w:val="lowerLetter"/>
      <w:lvlText w:val="%8."/>
      <w:lvlJc w:val="left"/>
      <w:pPr>
        <w:ind w:left="3702" w:hanging="360"/>
      </w:pPr>
    </w:lvl>
    <w:lvl w:ilvl="8" w:tplc="080A001B" w:tentative="1">
      <w:start w:val="1"/>
      <w:numFmt w:val="lowerRoman"/>
      <w:lvlText w:val="%9."/>
      <w:lvlJc w:val="right"/>
      <w:pPr>
        <w:ind w:left="4422" w:hanging="180"/>
      </w:pPr>
    </w:lvl>
  </w:abstractNum>
  <w:abstractNum w:abstractNumId="13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351F2D"/>
    <w:multiLevelType w:val="hybridMultilevel"/>
    <w:tmpl w:val="37A4D91C"/>
    <w:lvl w:ilvl="0" w:tplc="B11861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D70"/>
    <w:multiLevelType w:val="hybridMultilevel"/>
    <w:tmpl w:val="CC882E68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8FA6857"/>
    <w:multiLevelType w:val="hybridMultilevel"/>
    <w:tmpl w:val="B4C0B2DA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964187E"/>
    <w:multiLevelType w:val="hybridMultilevel"/>
    <w:tmpl w:val="C36C8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3638AA"/>
    <w:multiLevelType w:val="hybridMultilevel"/>
    <w:tmpl w:val="E83CE0E4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A473A00"/>
    <w:multiLevelType w:val="hybridMultilevel"/>
    <w:tmpl w:val="3F42167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302E8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5"/>
  </w:num>
  <w:num w:numId="5">
    <w:abstractNumId w:val="37"/>
  </w:num>
  <w:num w:numId="6">
    <w:abstractNumId w:val="13"/>
  </w:num>
  <w:num w:numId="7">
    <w:abstractNumId w:val="34"/>
  </w:num>
  <w:num w:numId="8">
    <w:abstractNumId w:val="5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33"/>
  </w:num>
  <w:num w:numId="16">
    <w:abstractNumId w:val="23"/>
  </w:num>
  <w:num w:numId="17">
    <w:abstractNumId w:val="10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8"/>
  </w:num>
  <w:num w:numId="23">
    <w:abstractNumId w:val="17"/>
  </w:num>
  <w:num w:numId="24">
    <w:abstractNumId w:val="9"/>
  </w:num>
  <w:num w:numId="25">
    <w:abstractNumId w:val="19"/>
  </w:num>
  <w:num w:numId="26">
    <w:abstractNumId w:val="27"/>
  </w:num>
  <w:num w:numId="27">
    <w:abstractNumId w:val="28"/>
  </w:num>
  <w:num w:numId="28">
    <w:abstractNumId w:val="29"/>
  </w:num>
  <w:num w:numId="29">
    <w:abstractNumId w:val="35"/>
  </w:num>
  <w:num w:numId="30">
    <w:abstractNumId w:val="1"/>
  </w:num>
  <w:num w:numId="31">
    <w:abstractNumId w:val="2"/>
  </w:num>
  <w:num w:numId="32">
    <w:abstractNumId w:val="12"/>
  </w:num>
  <w:num w:numId="33">
    <w:abstractNumId w:val="11"/>
  </w:num>
  <w:num w:numId="34">
    <w:abstractNumId w:val="36"/>
  </w:num>
  <w:num w:numId="35">
    <w:abstractNumId w:val="39"/>
  </w:num>
  <w:num w:numId="36">
    <w:abstractNumId w:val="7"/>
  </w:num>
  <w:num w:numId="37">
    <w:abstractNumId w:val="0"/>
  </w:num>
  <w:num w:numId="38">
    <w:abstractNumId w:val="16"/>
  </w:num>
  <w:num w:numId="39">
    <w:abstractNumId w:val="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3DD4"/>
    <w:rsid w:val="00006C03"/>
    <w:rsid w:val="000279D1"/>
    <w:rsid w:val="00033957"/>
    <w:rsid w:val="00034977"/>
    <w:rsid w:val="00035228"/>
    <w:rsid w:val="00052190"/>
    <w:rsid w:val="00054778"/>
    <w:rsid w:val="0006591A"/>
    <w:rsid w:val="000730F8"/>
    <w:rsid w:val="00075D2A"/>
    <w:rsid w:val="00077EA0"/>
    <w:rsid w:val="0009214E"/>
    <w:rsid w:val="0009337F"/>
    <w:rsid w:val="000959A9"/>
    <w:rsid w:val="00096480"/>
    <w:rsid w:val="00096C60"/>
    <w:rsid w:val="00097A2B"/>
    <w:rsid w:val="000A7C5E"/>
    <w:rsid w:val="000B45A9"/>
    <w:rsid w:val="000C1254"/>
    <w:rsid w:val="000C2259"/>
    <w:rsid w:val="000C363A"/>
    <w:rsid w:val="000C44CF"/>
    <w:rsid w:val="000C62B0"/>
    <w:rsid w:val="000C6418"/>
    <w:rsid w:val="000D336D"/>
    <w:rsid w:val="000D3BCC"/>
    <w:rsid w:val="000F1546"/>
    <w:rsid w:val="000F2382"/>
    <w:rsid w:val="000F5360"/>
    <w:rsid w:val="000F55C7"/>
    <w:rsid w:val="00104B2E"/>
    <w:rsid w:val="00105002"/>
    <w:rsid w:val="00107969"/>
    <w:rsid w:val="0011066C"/>
    <w:rsid w:val="001135E4"/>
    <w:rsid w:val="0011399C"/>
    <w:rsid w:val="00116509"/>
    <w:rsid w:val="0012382E"/>
    <w:rsid w:val="00127ADE"/>
    <w:rsid w:val="00131C3F"/>
    <w:rsid w:val="00132A1C"/>
    <w:rsid w:val="00132D6F"/>
    <w:rsid w:val="00135B97"/>
    <w:rsid w:val="00135CCF"/>
    <w:rsid w:val="00144E84"/>
    <w:rsid w:val="00145A1C"/>
    <w:rsid w:val="00160BFD"/>
    <w:rsid w:val="00180BF1"/>
    <w:rsid w:val="00182350"/>
    <w:rsid w:val="0018421C"/>
    <w:rsid w:val="0018557C"/>
    <w:rsid w:val="00191EA3"/>
    <w:rsid w:val="0019659A"/>
    <w:rsid w:val="001A4A6D"/>
    <w:rsid w:val="001A57F9"/>
    <w:rsid w:val="001B163E"/>
    <w:rsid w:val="001B3E37"/>
    <w:rsid w:val="001B40D4"/>
    <w:rsid w:val="001B4C89"/>
    <w:rsid w:val="001C1348"/>
    <w:rsid w:val="001C287E"/>
    <w:rsid w:val="001D60B7"/>
    <w:rsid w:val="001E1A74"/>
    <w:rsid w:val="001E2BD8"/>
    <w:rsid w:val="001E394D"/>
    <w:rsid w:val="001F065C"/>
    <w:rsid w:val="001F1FE4"/>
    <w:rsid w:val="001F23C3"/>
    <w:rsid w:val="001F2DD8"/>
    <w:rsid w:val="001F6017"/>
    <w:rsid w:val="00202133"/>
    <w:rsid w:val="002118DB"/>
    <w:rsid w:val="00214E42"/>
    <w:rsid w:val="00217EF5"/>
    <w:rsid w:val="00223B99"/>
    <w:rsid w:val="00230071"/>
    <w:rsid w:val="00233C7A"/>
    <w:rsid w:val="00234553"/>
    <w:rsid w:val="00235055"/>
    <w:rsid w:val="00235D89"/>
    <w:rsid w:val="00242692"/>
    <w:rsid w:val="00244B16"/>
    <w:rsid w:val="002518AF"/>
    <w:rsid w:val="00255C38"/>
    <w:rsid w:val="00256B9D"/>
    <w:rsid w:val="002575FD"/>
    <w:rsid w:val="00260FF6"/>
    <w:rsid w:val="00263E10"/>
    <w:rsid w:val="0026524B"/>
    <w:rsid w:val="00267D39"/>
    <w:rsid w:val="00280136"/>
    <w:rsid w:val="00283FA7"/>
    <w:rsid w:val="00286455"/>
    <w:rsid w:val="00294018"/>
    <w:rsid w:val="002A5A70"/>
    <w:rsid w:val="002B33DE"/>
    <w:rsid w:val="002B6F9D"/>
    <w:rsid w:val="002C21BA"/>
    <w:rsid w:val="002C5BB5"/>
    <w:rsid w:val="002D223B"/>
    <w:rsid w:val="002D6B62"/>
    <w:rsid w:val="002D7C7F"/>
    <w:rsid w:val="002E0A22"/>
    <w:rsid w:val="002E42B7"/>
    <w:rsid w:val="00312D15"/>
    <w:rsid w:val="00321E4D"/>
    <w:rsid w:val="003233BA"/>
    <w:rsid w:val="00331C25"/>
    <w:rsid w:val="00337475"/>
    <w:rsid w:val="003439CF"/>
    <w:rsid w:val="00343AC1"/>
    <w:rsid w:val="003527D2"/>
    <w:rsid w:val="00354B62"/>
    <w:rsid w:val="00363722"/>
    <w:rsid w:val="00382780"/>
    <w:rsid w:val="00384DD8"/>
    <w:rsid w:val="0039077A"/>
    <w:rsid w:val="003958D5"/>
    <w:rsid w:val="00396BAE"/>
    <w:rsid w:val="003A0DF5"/>
    <w:rsid w:val="003A1625"/>
    <w:rsid w:val="003A3E12"/>
    <w:rsid w:val="003A5E28"/>
    <w:rsid w:val="003A6E95"/>
    <w:rsid w:val="003B1E8F"/>
    <w:rsid w:val="003C14B5"/>
    <w:rsid w:val="003C25E2"/>
    <w:rsid w:val="003C400B"/>
    <w:rsid w:val="003D62A6"/>
    <w:rsid w:val="003D7B1E"/>
    <w:rsid w:val="003E1E0B"/>
    <w:rsid w:val="003F3DD2"/>
    <w:rsid w:val="003F5670"/>
    <w:rsid w:val="0040196B"/>
    <w:rsid w:val="00410973"/>
    <w:rsid w:val="00413AE4"/>
    <w:rsid w:val="00416EE4"/>
    <w:rsid w:val="00422E8C"/>
    <w:rsid w:val="00426277"/>
    <w:rsid w:val="004268E9"/>
    <w:rsid w:val="00426E64"/>
    <w:rsid w:val="00431D64"/>
    <w:rsid w:val="00435B13"/>
    <w:rsid w:val="004406ED"/>
    <w:rsid w:val="00447582"/>
    <w:rsid w:val="00454968"/>
    <w:rsid w:val="004566FE"/>
    <w:rsid w:val="00460BBE"/>
    <w:rsid w:val="00466EF0"/>
    <w:rsid w:val="004725C3"/>
    <w:rsid w:val="004738E3"/>
    <w:rsid w:val="004756AB"/>
    <w:rsid w:val="00496EC5"/>
    <w:rsid w:val="004A03FB"/>
    <w:rsid w:val="004A12F3"/>
    <w:rsid w:val="004A6EAC"/>
    <w:rsid w:val="004B0F03"/>
    <w:rsid w:val="004B1455"/>
    <w:rsid w:val="004C14F5"/>
    <w:rsid w:val="004C67CA"/>
    <w:rsid w:val="004D7F11"/>
    <w:rsid w:val="004E0495"/>
    <w:rsid w:val="004E2811"/>
    <w:rsid w:val="004E435A"/>
    <w:rsid w:val="004E705D"/>
    <w:rsid w:val="004F2DC5"/>
    <w:rsid w:val="00500692"/>
    <w:rsid w:val="00505109"/>
    <w:rsid w:val="0051234D"/>
    <w:rsid w:val="0051293E"/>
    <w:rsid w:val="00515D33"/>
    <w:rsid w:val="00516366"/>
    <w:rsid w:val="00517350"/>
    <w:rsid w:val="00522891"/>
    <w:rsid w:val="0052579D"/>
    <w:rsid w:val="0052718B"/>
    <w:rsid w:val="00527231"/>
    <w:rsid w:val="00537CE0"/>
    <w:rsid w:val="00541670"/>
    <w:rsid w:val="0055320F"/>
    <w:rsid w:val="0055637B"/>
    <w:rsid w:val="00556E3E"/>
    <w:rsid w:val="00562D33"/>
    <w:rsid w:val="00583B0D"/>
    <w:rsid w:val="00583BB6"/>
    <w:rsid w:val="00592C30"/>
    <w:rsid w:val="005A3622"/>
    <w:rsid w:val="005B23FC"/>
    <w:rsid w:val="005C0331"/>
    <w:rsid w:val="005C11D3"/>
    <w:rsid w:val="005D4FBF"/>
    <w:rsid w:val="005E29CD"/>
    <w:rsid w:val="005E3FB5"/>
    <w:rsid w:val="00601406"/>
    <w:rsid w:val="00610F1F"/>
    <w:rsid w:val="00612EEE"/>
    <w:rsid w:val="00651BE4"/>
    <w:rsid w:val="00660EAE"/>
    <w:rsid w:val="006611F8"/>
    <w:rsid w:val="00666054"/>
    <w:rsid w:val="006704C9"/>
    <w:rsid w:val="00674DFA"/>
    <w:rsid w:val="00677F08"/>
    <w:rsid w:val="00691921"/>
    <w:rsid w:val="006A4232"/>
    <w:rsid w:val="006A48D6"/>
    <w:rsid w:val="006A6D87"/>
    <w:rsid w:val="006C059E"/>
    <w:rsid w:val="006C26CF"/>
    <w:rsid w:val="006C362E"/>
    <w:rsid w:val="006C61E3"/>
    <w:rsid w:val="006D03B9"/>
    <w:rsid w:val="006D046F"/>
    <w:rsid w:val="006D73D4"/>
    <w:rsid w:val="006E3701"/>
    <w:rsid w:val="006E3A04"/>
    <w:rsid w:val="006F338F"/>
    <w:rsid w:val="006F4DD8"/>
    <w:rsid w:val="00701E24"/>
    <w:rsid w:val="0070415A"/>
    <w:rsid w:val="007112F0"/>
    <w:rsid w:val="0071338E"/>
    <w:rsid w:val="00721477"/>
    <w:rsid w:val="0072246E"/>
    <w:rsid w:val="0072402D"/>
    <w:rsid w:val="00733EE4"/>
    <w:rsid w:val="007340C6"/>
    <w:rsid w:val="0073521C"/>
    <w:rsid w:val="00735783"/>
    <w:rsid w:val="00737CA0"/>
    <w:rsid w:val="00740A0B"/>
    <w:rsid w:val="0076121D"/>
    <w:rsid w:val="00761C1A"/>
    <w:rsid w:val="00765B10"/>
    <w:rsid w:val="007773D4"/>
    <w:rsid w:val="00782F9F"/>
    <w:rsid w:val="00786B99"/>
    <w:rsid w:val="007971B1"/>
    <w:rsid w:val="007A48B2"/>
    <w:rsid w:val="007A4A0B"/>
    <w:rsid w:val="007A5960"/>
    <w:rsid w:val="007B1B4D"/>
    <w:rsid w:val="007C5FBA"/>
    <w:rsid w:val="007D0342"/>
    <w:rsid w:val="007D0967"/>
    <w:rsid w:val="007D3B7E"/>
    <w:rsid w:val="007D4D94"/>
    <w:rsid w:val="007D5186"/>
    <w:rsid w:val="007D73F5"/>
    <w:rsid w:val="007E0B38"/>
    <w:rsid w:val="007E12AF"/>
    <w:rsid w:val="007E65DD"/>
    <w:rsid w:val="007E7525"/>
    <w:rsid w:val="007F0325"/>
    <w:rsid w:val="007F0EF1"/>
    <w:rsid w:val="007F4412"/>
    <w:rsid w:val="008071EB"/>
    <w:rsid w:val="00815E41"/>
    <w:rsid w:val="00816C08"/>
    <w:rsid w:val="00820015"/>
    <w:rsid w:val="00822B94"/>
    <w:rsid w:val="00833AC0"/>
    <w:rsid w:val="00834039"/>
    <w:rsid w:val="008349CA"/>
    <w:rsid w:val="00834C1A"/>
    <w:rsid w:val="00842688"/>
    <w:rsid w:val="008438CD"/>
    <w:rsid w:val="00850933"/>
    <w:rsid w:val="008529C4"/>
    <w:rsid w:val="008617F5"/>
    <w:rsid w:val="00866ED8"/>
    <w:rsid w:val="00866EF1"/>
    <w:rsid w:val="00871C1A"/>
    <w:rsid w:val="0087326C"/>
    <w:rsid w:val="00882A0A"/>
    <w:rsid w:val="008831F6"/>
    <w:rsid w:val="00897E5E"/>
    <w:rsid w:val="008A66B8"/>
    <w:rsid w:val="008B2CD9"/>
    <w:rsid w:val="008B34FB"/>
    <w:rsid w:val="008B5BF0"/>
    <w:rsid w:val="008B6D4F"/>
    <w:rsid w:val="008E25C8"/>
    <w:rsid w:val="008F09D2"/>
    <w:rsid w:val="008F66B4"/>
    <w:rsid w:val="00903E6C"/>
    <w:rsid w:val="00905DC2"/>
    <w:rsid w:val="009112AB"/>
    <w:rsid w:val="00917F6F"/>
    <w:rsid w:val="00921070"/>
    <w:rsid w:val="00925D33"/>
    <w:rsid w:val="00933042"/>
    <w:rsid w:val="00934F45"/>
    <w:rsid w:val="009459A4"/>
    <w:rsid w:val="00950192"/>
    <w:rsid w:val="0095023C"/>
    <w:rsid w:val="00956549"/>
    <w:rsid w:val="00966804"/>
    <w:rsid w:val="009733B9"/>
    <w:rsid w:val="00980A32"/>
    <w:rsid w:val="009868C6"/>
    <w:rsid w:val="009906F9"/>
    <w:rsid w:val="00990753"/>
    <w:rsid w:val="00994E2F"/>
    <w:rsid w:val="00997884"/>
    <w:rsid w:val="009A0A62"/>
    <w:rsid w:val="009C7925"/>
    <w:rsid w:val="009D0211"/>
    <w:rsid w:val="009D0ECE"/>
    <w:rsid w:val="009D5B1A"/>
    <w:rsid w:val="009E0180"/>
    <w:rsid w:val="009E4C7A"/>
    <w:rsid w:val="009E7411"/>
    <w:rsid w:val="009F3F99"/>
    <w:rsid w:val="00A1357C"/>
    <w:rsid w:val="00A148AB"/>
    <w:rsid w:val="00A31CF4"/>
    <w:rsid w:val="00A31FF6"/>
    <w:rsid w:val="00A35D06"/>
    <w:rsid w:val="00A3751E"/>
    <w:rsid w:val="00A378B1"/>
    <w:rsid w:val="00A4543F"/>
    <w:rsid w:val="00A529A9"/>
    <w:rsid w:val="00A65CE2"/>
    <w:rsid w:val="00A663AD"/>
    <w:rsid w:val="00A67484"/>
    <w:rsid w:val="00A676FD"/>
    <w:rsid w:val="00A726E4"/>
    <w:rsid w:val="00A74390"/>
    <w:rsid w:val="00AA6F6B"/>
    <w:rsid w:val="00AB08AB"/>
    <w:rsid w:val="00AB0DDD"/>
    <w:rsid w:val="00AB3BFA"/>
    <w:rsid w:val="00AC50CF"/>
    <w:rsid w:val="00AC6500"/>
    <w:rsid w:val="00AC717F"/>
    <w:rsid w:val="00AC795A"/>
    <w:rsid w:val="00AE12E4"/>
    <w:rsid w:val="00AF123D"/>
    <w:rsid w:val="00AF2686"/>
    <w:rsid w:val="00AF496C"/>
    <w:rsid w:val="00B032A4"/>
    <w:rsid w:val="00B0789D"/>
    <w:rsid w:val="00B14BBF"/>
    <w:rsid w:val="00B169FB"/>
    <w:rsid w:val="00B17F46"/>
    <w:rsid w:val="00B21E25"/>
    <w:rsid w:val="00B22333"/>
    <w:rsid w:val="00B30FEA"/>
    <w:rsid w:val="00B33387"/>
    <w:rsid w:val="00B35124"/>
    <w:rsid w:val="00B3642B"/>
    <w:rsid w:val="00B37240"/>
    <w:rsid w:val="00B527C9"/>
    <w:rsid w:val="00B64DD9"/>
    <w:rsid w:val="00B7700F"/>
    <w:rsid w:val="00B84545"/>
    <w:rsid w:val="00B84F02"/>
    <w:rsid w:val="00B9273F"/>
    <w:rsid w:val="00BA137A"/>
    <w:rsid w:val="00BA5E92"/>
    <w:rsid w:val="00BB05AD"/>
    <w:rsid w:val="00BB32A3"/>
    <w:rsid w:val="00BC4896"/>
    <w:rsid w:val="00BD460A"/>
    <w:rsid w:val="00BD4B42"/>
    <w:rsid w:val="00BD6431"/>
    <w:rsid w:val="00BE1D53"/>
    <w:rsid w:val="00BE2462"/>
    <w:rsid w:val="00BE2679"/>
    <w:rsid w:val="00BE6859"/>
    <w:rsid w:val="00BF66B2"/>
    <w:rsid w:val="00C00810"/>
    <w:rsid w:val="00C041AC"/>
    <w:rsid w:val="00C057A5"/>
    <w:rsid w:val="00C0701B"/>
    <w:rsid w:val="00C07BB7"/>
    <w:rsid w:val="00C10DE5"/>
    <w:rsid w:val="00C13A2E"/>
    <w:rsid w:val="00C170A1"/>
    <w:rsid w:val="00C3394F"/>
    <w:rsid w:val="00C34787"/>
    <w:rsid w:val="00C43A73"/>
    <w:rsid w:val="00C5383F"/>
    <w:rsid w:val="00C54C4D"/>
    <w:rsid w:val="00C56107"/>
    <w:rsid w:val="00C564A8"/>
    <w:rsid w:val="00C60092"/>
    <w:rsid w:val="00C604DF"/>
    <w:rsid w:val="00C61716"/>
    <w:rsid w:val="00C6431C"/>
    <w:rsid w:val="00C645AB"/>
    <w:rsid w:val="00C675EA"/>
    <w:rsid w:val="00C72DCC"/>
    <w:rsid w:val="00C740C3"/>
    <w:rsid w:val="00C81149"/>
    <w:rsid w:val="00C820FC"/>
    <w:rsid w:val="00C94B19"/>
    <w:rsid w:val="00C95C74"/>
    <w:rsid w:val="00CA3303"/>
    <w:rsid w:val="00CB4679"/>
    <w:rsid w:val="00CB72DC"/>
    <w:rsid w:val="00CC617C"/>
    <w:rsid w:val="00CD12AB"/>
    <w:rsid w:val="00CE41A7"/>
    <w:rsid w:val="00CE716B"/>
    <w:rsid w:val="00CF3231"/>
    <w:rsid w:val="00D1682F"/>
    <w:rsid w:val="00D273A0"/>
    <w:rsid w:val="00D309CA"/>
    <w:rsid w:val="00D33CA0"/>
    <w:rsid w:val="00D369AE"/>
    <w:rsid w:val="00D437D8"/>
    <w:rsid w:val="00D50E9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73FF2"/>
    <w:rsid w:val="00D77F84"/>
    <w:rsid w:val="00D87A6E"/>
    <w:rsid w:val="00D87EA9"/>
    <w:rsid w:val="00D9042F"/>
    <w:rsid w:val="00D91604"/>
    <w:rsid w:val="00D91D39"/>
    <w:rsid w:val="00D974F0"/>
    <w:rsid w:val="00DA0960"/>
    <w:rsid w:val="00DA4436"/>
    <w:rsid w:val="00DA4B94"/>
    <w:rsid w:val="00DC423E"/>
    <w:rsid w:val="00DC6375"/>
    <w:rsid w:val="00DC6CDC"/>
    <w:rsid w:val="00DD1C28"/>
    <w:rsid w:val="00DD4BFE"/>
    <w:rsid w:val="00DD4F1B"/>
    <w:rsid w:val="00DE19A8"/>
    <w:rsid w:val="00DE7CC8"/>
    <w:rsid w:val="00DF19FA"/>
    <w:rsid w:val="00DF2DE6"/>
    <w:rsid w:val="00DF4A88"/>
    <w:rsid w:val="00E003F8"/>
    <w:rsid w:val="00E04F1B"/>
    <w:rsid w:val="00E07DDA"/>
    <w:rsid w:val="00E16227"/>
    <w:rsid w:val="00E1628E"/>
    <w:rsid w:val="00E1690D"/>
    <w:rsid w:val="00E17255"/>
    <w:rsid w:val="00E24A31"/>
    <w:rsid w:val="00E270F0"/>
    <w:rsid w:val="00E32522"/>
    <w:rsid w:val="00E33705"/>
    <w:rsid w:val="00E350E6"/>
    <w:rsid w:val="00E54020"/>
    <w:rsid w:val="00E55BE1"/>
    <w:rsid w:val="00E735A8"/>
    <w:rsid w:val="00E770EC"/>
    <w:rsid w:val="00E81E2C"/>
    <w:rsid w:val="00E84499"/>
    <w:rsid w:val="00E922C1"/>
    <w:rsid w:val="00E93E62"/>
    <w:rsid w:val="00EA0CF3"/>
    <w:rsid w:val="00EA257B"/>
    <w:rsid w:val="00EA4364"/>
    <w:rsid w:val="00EB5A02"/>
    <w:rsid w:val="00EB6349"/>
    <w:rsid w:val="00EC1FC4"/>
    <w:rsid w:val="00EC24CB"/>
    <w:rsid w:val="00EC287F"/>
    <w:rsid w:val="00ED2EC2"/>
    <w:rsid w:val="00ED3AF3"/>
    <w:rsid w:val="00ED771A"/>
    <w:rsid w:val="00ED7D79"/>
    <w:rsid w:val="00EF3AF1"/>
    <w:rsid w:val="00EF52C6"/>
    <w:rsid w:val="00F03672"/>
    <w:rsid w:val="00F03B65"/>
    <w:rsid w:val="00F03BAF"/>
    <w:rsid w:val="00F064A5"/>
    <w:rsid w:val="00F15373"/>
    <w:rsid w:val="00F2333D"/>
    <w:rsid w:val="00F2473B"/>
    <w:rsid w:val="00F30A5B"/>
    <w:rsid w:val="00F35F03"/>
    <w:rsid w:val="00F36B6B"/>
    <w:rsid w:val="00F527D1"/>
    <w:rsid w:val="00F6587D"/>
    <w:rsid w:val="00F71DE7"/>
    <w:rsid w:val="00F76FB8"/>
    <w:rsid w:val="00F833B3"/>
    <w:rsid w:val="00F840E5"/>
    <w:rsid w:val="00F875EE"/>
    <w:rsid w:val="00F91D04"/>
    <w:rsid w:val="00F94E0E"/>
    <w:rsid w:val="00F97FCE"/>
    <w:rsid w:val="00FA019D"/>
    <w:rsid w:val="00FA388E"/>
    <w:rsid w:val="00FA3B3F"/>
    <w:rsid w:val="00FA4E5C"/>
    <w:rsid w:val="00FA7E3D"/>
    <w:rsid w:val="00FB02C1"/>
    <w:rsid w:val="00FC0D13"/>
    <w:rsid w:val="00FD5C82"/>
    <w:rsid w:val="00FE7E24"/>
    <w:rsid w:val="00FF1F29"/>
    <w:rsid w:val="00FF3F5E"/>
    <w:rsid w:val="00FF419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019D"/>
    <w:rPr>
      <w:color w:val="800080" w:themeColor="followedHyperlink"/>
      <w:u w:val="single"/>
    </w:rPr>
  </w:style>
  <w:style w:type="table" w:styleId="Listavistosa-nfasis4">
    <w:name w:val="Colorful List Accent 4"/>
    <w:basedOn w:val="Tablanormal"/>
    <w:uiPriority w:val="72"/>
    <w:rsid w:val="00CE71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sbc.gob.mx/ArchivosInternet%5C8782607727-2.%20DIF%20%20ESTATAL-12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</cp:revision>
  <dcterms:created xsi:type="dcterms:W3CDTF">2014-12-16T06:03:00Z</dcterms:created>
  <dcterms:modified xsi:type="dcterms:W3CDTF">2015-02-19T20:17:00Z</dcterms:modified>
</cp:coreProperties>
</file>